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Caption w:val="HDRN Canada and GRIIS"/>
        <w:tblDescription w:val="HDRN Canada and GRIIS logos"/>
      </w:tblPr>
      <w:tblGrid>
        <w:gridCol w:w="6476"/>
        <w:gridCol w:w="4014"/>
      </w:tblGrid>
      <w:tr w:rsidR="002231D1" w:rsidRPr="00C52D22" w14:paraId="36EF2BA7" w14:textId="77777777" w:rsidTr="193DF9D0">
        <w:trPr>
          <w:tblHeader/>
        </w:trPr>
        <w:tc>
          <w:tcPr>
            <w:tcW w:w="6476" w:type="dxa"/>
            <w:vAlign w:val="center"/>
          </w:tcPr>
          <w:p w14:paraId="460E81DB" w14:textId="4E14E6AF" w:rsidR="002231D1" w:rsidRPr="00C52D22" w:rsidRDefault="7606C2D7" w:rsidP="002231D1">
            <w:pPr>
              <w:pStyle w:val="Header"/>
              <w:ind w:hanging="20"/>
            </w:pPr>
            <w:r w:rsidRPr="193DF9D0">
              <w:rPr>
                <w:noProof/>
              </w:rPr>
              <w:t xml:space="preserve"> </w:t>
            </w:r>
            <w:r>
              <w:rPr>
                <w:noProof/>
                <w:lang w:val="en-US"/>
              </w:rPr>
              <w:drawing>
                <wp:inline distT="0" distB="0" distL="0" distR="0" wp14:anchorId="11CFA5CF" wp14:editId="1A163AC2">
                  <wp:extent cx="3949328" cy="731520"/>
                  <wp:effectExtent l="0" t="0" r="0" b="0"/>
                  <wp:docPr id="7" name="Picture 7" descr="HDRN Canada logo" title="HDRN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3949328" cy="731520"/>
                          </a:xfrm>
                          <a:prstGeom prst="rect">
                            <a:avLst/>
                          </a:prstGeom>
                        </pic:spPr>
                      </pic:pic>
                    </a:graphicData>
                  </a:graphic>
                </wp:inline>
              </w:drawing>
            </w:r>
          </w:p>
        </w:tc>
        <w:tc>
          <w:tcPr>
            <w:tcW w:w="4014" w:type="dxa"/>
            <w:vAlign w:val="center"/>
          </w:tcPr>
          <w:p w14:paraId="3598833B" w14:textId="77777777" w:rsidR="002231D1" w:rsidRPr="00C52D22" w:rsidRDefault="002231D1" w:rsidP="00DE6D63">
            <w:pPr>
              <w:pStyle w:val="Header"/>
              <w:jc w:val="right"/>
            </w:pPr>
            <w:r w:rsidRPr="00C52D22">
              <w:rPr>
                <w:noProof/>
                <w:lang w:val="en-US"/>
              </w:rPr>
              <w:drawing>
                <wp:inline distT="0" distB="0" distL="0" distR="0" wp14:anchorId="4722A783" wp14:editId="0AB53DD6">
                  <wp:extent cx="1917700" cy="582981"/>
                  <wp:effectExtent l="0" t="0" r="6350" b="0"/>
                  <wp:docPr id="6" name="Picture 6" descr="GRIIS logo" title="GR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326" cy="586211"/>
                          </a:xfrm>
                          <a:prstGeom prst="rect">
                            <a:avLst/>
                          </a:prstGeom>
                          <a:noFill/>
                          <a:ln>
                            <a:noFill/>
                          </a:ln>
                        </pic:spPr>
                      </pic:pic>
                    </a:graphicData>
                  </a:graphic>
                </wp:inline>
              </w:drawing>
            </w:r>
          </w:p>
        </w:tc>
      </w:tr>
    </w:tbl>
    <w:p w14:paraId="29A58383" w14:textId="77777777" w:rsidR="002F4E49" w:rsidRPr="00C52D22" w:rsidRDefault="002F4E49" w:rsidP="009D17F2">
      <w:pPr>
        <w:rPr>
          <w:b/>
          <w:sz w:val="36"/>
        </w:rPr>
      </w:pPr>
    </w:p>
    <w:p w14:paraId="50C06FEC" w14:textId="77777777" w:rsidR="00ED6DB5" w:rsidRDefault="00ED6DB5" w:rsidP="57D42859">
      <w:pPr>
        <w:jc w:val="center"/>
        <w:rPr>
          <w:b/>
          <w:bCs/>
          <w:sz w:val="40"/>
          <w:szCs w:val="40"/>
        </w:rPr>
      </w:pPr>
    </w:p>
    <w:p w14:paraId="49FC0FDB" w14:textId="77777777" w:rsidR="008349B3" w:rsidRDefault="57D42859" w:rsidP="008349B3">
      <w:pPr>
        <w:jc w:val="center"/>
        <w:rPr>
          <w:b/>
          <w:sz w:val="40"/>
          <w:szCs w:val="24"/>
        </w:rPr>
      </w:pPr>
      <w:r w:rsidRPr="009D17F2">
        <w:rPr>
          <w:b/>
          <w:bCs/>
          <w:sz w:val="40"/>
          <w:szCs w:val="40"/>
        </w:rPr>
        <w:t>SOCIAL LICENCE FOR USES OF HEALTH DATA</w:t>
      </w:r>
      <w:r w:rsidR="00801F06">
        <w:rPr>
          <w:b/>
          <w:bCs/>
          <w:sz w:val="40"/>
          <w:szCs w:val="40"/>
        </w:rPr>
        <w:t>:</w:t>
      </w:r>
    </w:p>
    <w:p w14:paraId="29449C85" w14:textId="65F91F38" w:rsidR="002F4E49" w:rsidRPr="008349B3" w:rsidRDefault="008349B3" w:rsidP="008349B3">
      <w:pPr>
        <w:jc w:val="center"/>
        <w:rPr>
          <w:b/>
          <w:sz w:val="40"/>
          <w:szCs w:val="24"/>
        </w:rPr>
      </w:pPr>
      <w:r>
        <w:rPr>
          <w:b/>
          <w:sz w:val="40"/>
          <w:szCs w:val="24"/>
        </w:rPr>
        <w:t>A REPORT ON PUBLIC PERSPECTIVES</w:t>
      </w:r>
    </w:p>
    <w:p w14:paraId="784ED26B" w14:textId="0930E284" w:rsidR="00CF058C" w:rsidRPr="005649D9" w:rsidRDefault="005649D9" w:rsidP="005649D9">
      <w:pPr>
        <w:jc w:val="center"/>
        <w:rPr>
          <w:b/>
          <w:sz w:val="40"/>
          <w:szCs w:val="24"/>
        </w:rPr>
      </w:pPr>
      <w:r w:rsidRPr="00C61285">
        <w:rPr>
          <w:b/>
          <w:noProof/>
          <w:lang w:val="en-US"/>
        </w:rPr>
        <w:drawing>
          <wp:inline distT="0" distB="0" distL="0" distR="0" wp14:anchorId="12946D56" wp14:editId="693CE2D0">
            <wp:extent cx="6263839" cy="2729865"/>
            <wp:effectExtent l="0" t="0" r="3810" b="0"/>
            <wp:docPr id="8" name="Picture 7" descr="Word cloud&#10;&#10;Words and phrases for all requirements seen as essential for health data social licence in participants' own words&#10;&#10;As an alternative to this visual presentation which uses larger fonts for the words and phrases expressed most frequently, section E4 presents the frequency of each coded words and phrases.&#10;&#10;https://www.hdrn.ca/sites/default/files/2022-11/Appendix%20E%20-%20Social%20licence%20for%20uses%20of%20health%20data%20-%20HDRN%20Canada%20%26%20GRIIS.docx">
              <a:extLst xmlns:a="http://schemas.openxmlformats.org/drawingml/2006/main">
                <a:ext uri="{FF2B5EF4-FFF2-40B4-BE49-F238E27FC236}">
                  <a16:creationId xmlns:a16="http://schemas.microsoft.com/office/drawing/2014/main" id="{9CDEE4FF-7DFE-C8F8-BFD4-1B6589BAB4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xt&#10;&#10;Description automatically generated">
                      <a:extLst>
                        <a:ext uri="{FF2B5EF4-FFF2-40B4-BE49-F238E27FC236}">
                          <a16:creationId xmlns:a16="http://schemas.microsoft.com/office/drawing/2014/main" id="{9CDEE4FF-7DFE-C8F8-BFD4-1B6589BAB4A3}"/>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397535" cy="2788132"/>
                    </a:xfrm>
                    <a:prstGeom prst="rect">
                      <a:avLst/>
                    </a:prstGeom>
                  </pic:spPr>
                </pic:pic>
              </a:graphicData>
            </a:graphic>
          </wp:inline>
        </w:drawing>
      </w:r>
    </w:p>
    <w:p w14:paraId="1C347BDE" w14:textId="52A66A32" w:rsidR="00C60759" w:rsidRDefault="00C60759" w:rsidP="00ED6DB5">
      <w:pPr>
        <w:spacing w:after="0" w:line="240" w:lineRule="auto"/>
        <w:rPr>
          <w:sz w:val="24"/>
          <w:szCs w:val="24"/>
        </w:rPr>
      </w:pPr>
    </w:p>
    <w:p w14:paraId="5544DC06" w14:textId="4DB9C68B" w:rsidR="009F4896" w:rsidRDefault="009F4896" w:rsidP="00ED6DB5">
      <w:pPr>
        <w:spacing w:after="0" w:line="240" w:lineRule="auto"/>
        <w:rPr>
          <w:sz w:val="24"/>
          <w:szCs w:val="24"/>
        </w:rPr>
      </w:pPr>
    </w:p>
    <w:p w14:paraId="76C3665B" w14:textId="4E04AB10" w:rsidR="00C60759" w:rsidRDefault="00C60759" w:rsidP="00ED6DB5">
      <w:pPr>
        <w:spacing w:after="0" w:line="240" w:lineRule="auto"/>
        <w:rPr>
          <w:sz w:val="24"/>
          <w:szCs w:val="24"/>
        </w:rPr>
      </w:pPr>
    </w:p>
    <w:p w14:paraId="24237013" w14:textId="7E8F503B" w:rsidR="00C60759" w:rsidRDefault="00C60759" w:rsidP="00ED6DB5">
      <w:pPr>
        <w:spacing w:after="0" w:line="240" w:lineRule="auto"/>
        <w:rPr>
          <w:sz w:val="24"/>
          <w:szCs w:val="24"/>
        </w:rPr>
      </w:pPr>
    </w:p>
    <w:p w14:paraId="76B28865" w14:textId="2480A840" w:rsidR="00A751A8" w:rsidRDefault="005D0D4A" w:rsidP="00ED6DB5">
      <w:pPr>
        <w:spacing w:after="0" w:line="240" w:lineRule="auto"/>
        <w:rPr>
          <w:sz w:val="24"/>
          <w:szCs w:val="24"/>
        </w:rPr>
      </w:pPr>
      <w:r w:rsidRPr="193DF9D0">
        <w:rPr>
          <w:sz w:val="24"/>
          <w:szCs w:val="24"/>
        </w:rPr>
        <w:t>Julia Burt</w:t>
      </w:r>
      <w:r w:rsidR="00DF4698" w:rsidRPr="193DF9D0">
        <w:rPr>
          <w:sz w:val="24"/>
          <w:szCs w:val="24"/>
        </w:rPr>
        <w:t>,</w:t>
      </w:r>
      <w:r w:rsidR="00E80CAF" w:rsidRPr="193DF9D0">
        <w:rPr>
          <w:sz w:val="24"/>
          <w:szCs w:val="24"/>
          <w:vertAlign w:val="superscript"/>
        </w:rPr>
        <w:t>1</w:t>
      </w:r>
      <w:r w:rsidRPr="193DF9D0">
        <w:rPr>
          <w:sz w:val="24"/>
          <w:szCs w:val="24"/>
        </w:rPr>
        <w:t xml:space="preserve"> Annabelle Cumyn</w:t>
      </w:r>
      <w:r w:rsidR="00DF4698" w:rsidRPr="193DF9D0">
        <w:rPr>
          <w:sz w:val="24"/>
          <w:szCs w:val="24"/>
        </w:rPr>
        <w:t>,</w:t>
      </w:r>
      <w:r w:rsidR="00E80CAF" w:rsidRPr="193DF9D0">
        <w:rPr>
          <w:sz w:val="24"/>
          <w:szCs w:val="24"/>
          <w:vertAlign w:val="superscript"/>
        </w:rPr>
        <w:t xml:space="preserve">2 </w:t>
      </w:r>
      <w:r w:rsidRPr="193DF9D0">
        <w:rPr>
          <w:sz w:val="24"/>
          <w:szCs w:val="24"/>
          <w:vertAlign w:val="superscript"/>
        </w:rPr>
        <w:t>,3</w:t>
      </w:r>
      <w:r w:rsidRPr="193DF9D0">
        <w:rPr>
          <w:sz w:val="24"/>
          <w:szCs w:val="24"/>
        </w:rPr>
        <w:t xml:space="preserve"> Roxanne Dault</w:t>
      </w:r>
      <w:r w:rsidR="00DF4698" w:rsidRPr="193DF9D0">
        <w:rPr>
          <w:sz w:val="24"/>
          <w:szCs w:val="24"/>
        </w:rPr>
        <w:t>,</w:t>
      </w:r>
      <w:r w:rsidRPr="193DF9D0">
        <w:rPr>
          <w:sz w:val="24"/>
          <w:szCs w:val="24"/>
          <w:vertAlign w:val="superscript"/>
        </w:rPr>
        <w:t>2</w:t>
      </w:r>
      <w:r w:rsidRPr="193DF9D0">
        <w:rPr>
          <w:sz w:val="24"/>
          <w:szCs w:val="24"/>
        </w:rPr>
        <w:t xml:space="preserve"> P. Alison Paprica</w:t>
      </w:r>
      <w:r w:rsidR="00DF4698" w:rsidRPr="193DF9D0">
        <w:rPr>
          <w:sz w:val="24"/>
          <w:szCs w:val="24"/>
        </w:rPr>
        <w:t>,</w:t>
      </w:r>
      <w:r w:rsidRPr="193DF9D0">
        <w:rPr>
          <w:sz w:val="24"/>
          <w:szCs w:val="24"/>
          <w:vertAlign w:val="superscript"/>
        </w:rPr>
        <w:t>1,4</w:t>
      </w:r>
      <w:r w:rsidR="00953769" w:rsidRPr="193DF9D0">
        <w:rPr>
          <w:sz w:val="24"/>
          <w:szCs w:val="24"/>
        </w:rPr>
        <w:t xml:space="preserve"> C</w:t>
      </w:r>
      <w:r w:rsidR="000853C3" w:rsidRPr="193DF9D0">
        <w:rPr>
          <w:sz w:val="24"/>
          <w:szCs w:val="24"/>
        </w:rPr>
        <w:t xml:space="preserve">hristian Blouin, Paul Carter, Brian Cho, Carrie Costello, Clara </w:t>
      </w:r>
      <w:proofErr w:type="spellStart"/>
      <w:r w:rsidR="000853C3" w:rsidRPr="193DF9D0">
        <w:rPr>
          <w:sz w:val="24"/>
          <w:szCs w:val="24"/>
        </w:rPr>
        <w:t>Dallaire</w:t>
      </w:r>
      <w:proofErr w:type="spellEnd"/>
      <w:r w:rsidR="000853C3" w:rsidRPr="193DF9D0">
        <w:rPr>
          <w:sz w:val="24"/>
          <w:szCs w:val="24"/>
        </w:rPr>
        <w:t xml:space="preserve">, Martin Dawes, Marc Desrosiers, Annie-Danielle </w:t>
      </w:r>
      <w:proofErr w:type="spellStart"/>
      <w:r w:rsidR="000853C3" w:rsidRPr="193DF9D0">
        <w:rPr>
          <w:sz w:val="24"/>
          <w:szCs w:val="24"/>
        </w:rPr>
        <w:t>Grenier</w:t>
      </w:r>
      <w:proofErr w:type="spellEnd"/>
      <w:r w:rsidR="000853C3" w:rsidRPr="193DF9D0">
        <w:rPr>
          <w:sz w:val="24"/>
          <w:szCs w:val="24"/>
        </w:rPr>
        <w:t xml:space="preserve">, </w:t>
      </w:r>
      <w:proofErr w:type="spellStart"/>
      <w:r w:rsidR="000853C3" w:rsidRPr="193DF9D0">
        <w:rPr>
          <w:sz w:val="24"/>
          <w:szCs w:val="24"/>
        </w:rPr>
        <w:t>Frédérick</w:t>
      </w:r>
      <w:proofErr w:type="spellEnd"/>
      <w:r w:rsidR="000853C3" w:rsidRPr="193DF9D0">
        <w:rPr>
          <w:sz w:val="24"/>
          <w:szCs w:val="24"/>
        </w:rPr>
        <w:t xml:space="preserve"> </w:t>
      </w:r>
      <w:proofErr w:type="spellStart"/>
      <w:r w:rsidR="000853C3" w:rsidRPr="193DF9D0">
        <w:rPr>
          <w:sz w:val="24"/>
          <w:szCs w:val="24"/>
        </w:rPr>
        <w:t>L’Hérault</w:t>
      </w:r>
      <w:proofErr w:type="spellEnd"/>
      <w:r w:rsidR="000853C3" w:rsidRPr="193DF9D0">
        <w:rPr>
          <w:sz w:val="24"/>
          <w:szCs w:val="24"/>
        </w:rPr>
        <w:t xml:space="preserve">, </w:t>
      </w:r>
      <w:proofErr w:type="spellStart"/>
      <w:r w:rsidR="000853C3" w:rsidRPr="193DF9D0">
        <w:rPr>
          <w:sz w:val="24"/>
          <w:szCs w:val="24"/>
        </w:rPr>
        <w:t>Alies</w:t>
      </w:r>
      <w:proofErr w:type="spellEnd"/>
      <w:r w:rsidR="000853C3" w:rsidRPr="193DF9D0">
        <w:rPr>
          <w:sz w:val="24"/>
          <w:szCs w:val="24"/>
        </w:rPr>
        <w:t xml:space="preserve"> </w:t>
      </w:r>
      <w:proofErr w:type="spellStart"/>
      <w:r w:rsidR="000853C3" w:rsidRPr="193DF9D0">
        <w:rPr>
          <w:sz w:val="24"/>
          <w:szCs w:val="24"/>
        </w:rPr>
        <w:t>Maybee</w:t>
      </w:r>
      <w:proofErr w:type="spellEnd"/>
      <w:r w:rsidR="00C52D22" w:rsidRPr="193DF9D0">
        <w:rPr>
          <w:sz w:val="24"/>
          <w:szCs w:val="24"/>
        </w:rPr>
        <w:t>,</w:t>
      </w:r>
      <w:r w:rsidR="00C52D22" w:rsidRPr="193DF9D0">
        <w:rPr>
          <w:b/>
          <w:bCs/>
          <w:sz w:val="24"/>
          <w:szCs w:val="24"/>
        </w:rPr>
        <w:t xml:space="preserve"> </w:t>
      </w:r>
      <w:r w:rsidR="000853C3" w:rsidRPr="193DF9D0">
        <w:rPr>
          <w:sz w:val="24"/>
          <w:szCs w:val="24"/>
        </w:rPr>
        <w:t xml:space="preserve">Shirley Morrison, </w:t>
      </w:r>
      <w:proofErr w:type="spellStart"/>
      <w:r w:rsidR="000853C3" w:rsidRPr="193DF9D0">
        <w:rPr>
          <w:sz w:val="24"/>
          <w:szCs w:val="24"/>
        </w:rPr>
        <w:t>Shaneel</w:t>
      </w:r>
      <w:proofErr w:type="spellEnd"/>
      <w:r w:rsidR="000853C3" w:rsidRPr="193DF9D0">
        <w:rPr>
          <w:sz w:val="24"/>
          <w:szCs w:val="24"/>
        </w:rPr>
        <w:t xml:space="preserve"> Pathak, </w:t>
      </w:r>
      <w:proofErr w:type="spellStart"/>
      <w:r w:rsidR="000853C3" w:rsidRPr="193DF9D0">
        <w:rPr>
          <w:sz w:val="24"/>
          <w:szCs w:val="24"/>
        </w:rPr>
        <w:t>Danièle</w:t>
      </w:r>
      <w:proofErr w:type="spellEnd"/>
      <w:r w:rsidR="000853C3" w:rsidRPr="193DF9D0">
        <w:rPr>
          <w:sz w:val="24"/>
          <w:szCs w:val="24"/>
        </w:rPr>
        <w:t xml:space="preserve"> Remy Lamarche, Robert Olivier, </w:t>
      </w:r>
      <w:proofErr w:type="spellStart"/>
      <w:r w:rsidR="000853C3" w:rsidRPr="193DF9D0">
        <w:rPr>
          <w:sz w:val="24"/>
          <w:szCs w:val="24"/>
        </w:rPr>
        <w:t>Juanna</w:t>
      </w:r>
      <w:proofErr w:type="spellEnd"/>
      <w:r w:rsidR="000853C3" w:rsidRPr="193DF9D0">
        <w:rPr>
          <w:sz w:val="24"/>
          <w:szCs w:val="24"/>
        </w:rPr>
        <w:t xml:space="preserve"> Ricketts, Ginette Saucier, Ilse Tack, Eva </w:t>
      </w:r>
      <w:proofErr w:type="spellStart"/>
      <w:r w:rsidR="000853C3" w:rsidRPr="193DF9D0">
        <w:rPr>
          <w:sz w:val="24"/>
          <w:szCs w:val="24"/>
        </w:rPr>
        <w:t>Villalba</w:t>
      </w:r>
      <w:proofErr w:type="spellEnd"/>
      <w:r w:rsidR="00586018" w:rsidRPr="193DF9D0">
        <w:rPr>
          <w:sz w:val="24"/>
          <w:szCs w:val="24"/>
        </w:rPr>
        <w:t xml:space="preserve">, </w:t>
      </w:r>
      <w:r w:rsidR="000853C3" w:rsidRPr="193DF9D0">
        <w:rPr>
          <w:sz w:val="24"/>
          <w:szCs w:val="24"/>
        </w:rPr>
        <w:t xml:space="preserve">Raymond </w:t>
      </w:r>
      <w:proofErr w:type="spellStart"/>
      <w:r w:rsidR="000853C3" w:rsidRPr="193DF9D0">
        <w:rPr>
          <w:sz w:val="24"/>
          <w:szCs w:val="24"/>
        </w:rPr>
        <w:t>Vles</w:t>
      </w:r>
      <w:proofErr w:type="spellEnd"/>
      <w:r w:rsidR="000853C3" w:rsidRPr="193DF9D0">
        <w:rPr>
          <w:sz w:val="24"/>
          <w:szCs w:val="24"/>
        </w:rPr>
        <w:t>, Mike W</w:t>
      </w:r>
      <w:r w:rsidR="00C408FD" w:rsidRPr="193DF9D0">
        <w:rPr>
          <w:sz w:val="24"/>
          <w:szCs w:val="24"/>
        </w:rPr>
        <w:t>arren</w:t>
      </w:r>
    </w:p>
    <w:p w14:paraId="0E869245" w14:textId="79B93A55" w:rsidR="00E80CAF" w:rsidRPr="009F4896" w:rsidRDefault="00E80CAF" w:rsidP="00ED6DB5">
      <w:pPr>
        <w:spacing w:after="0" w:line="240" w:lineRule="auto"/>
        <w:rPr>
          <w:sz w:val="24"/>
          <w:szCs w:val="24"/>
        </w:rPr>
      </w:pPr>
      <w:r w:rsidRPr="009F4896">
        <w:rPr>
          <w:sz w:val="24"/>
          <w:szCs w:val="24"/>
        </w:rPr>
        <w:t>___________________________</w:t>
      </w:r>
    </w:p>
    <w:p w14:paraId="5B26EA8E" w14:textId="77777777" w:rsidR="009F4896" w:rsidRPr="00C60759" w:rsidRDefault="009F4896" w:rsidP="009F4896">
      <w:pPr>
        <w:spacing w:after="0" w:line="240" w:lineRule="auto"/>
        <w:rPr>
          <w:sz w:val="18"/>
          <w:szCs w:val="18"/>
        </w:rPr>
      </w:pPr>
      <w:r w:rsidRPr="00C60759">
        <w:rPr>
          <w:sz w:val="18"/>
          <w:szCs w:val="18"/>
        </w:rPr>
        <w:t>This work was funded by the Public Health Agency of Canada to support the development of the Pan-Canadian Health Data Strategy.  The analyses, conclusions, and statements expressed in the report are those of the authors, and not necessarily those of the Public Health Agency of Canada.</w:t>
      </w:r>
    </w:p>
    <w:p w14:paraId="24F68325" w14:textId="77777777" w:rsidR="009F4896" w:rsidRPr="009F4896" w:rsidRDefault="009F4896" w:rsidP="00E80CAF">
      <w:pPr>
        <w:pStyle w:val="FootnoteText"/>
        <w:rPr>
          <w:rStyle w:val="FootnoteReference"/>
          <w:sz w:val="18"/>
          <w:szCs w:val="18"/>
        </w:rPr>
      </w:pPr>
    </w:p>
    <w:p w14:paraId="41F4C4EC" w14:textId="75BB13E1" w:rsidR="00E80CAF" w:rsidRPr="00021599" w:rsidRDefault="00E80CAF" w:rsidP="00E80CAF">
      <w:pPr>
        <w:pStyle w:val="FootnoteText"/>
        <w:rPr>
          <w:sz w:val="18"/>
          <w:szCs w:val="18"/>
          <w:lang w:val="fr-CA"/>
        </w:rPr>
      </w:pPr>
      <w:r w:rsidRPr="008349B3">
        <w:rPr>
          <w:rStyle w:val="FootnoteReference"/>
          <w:sz w:val="18"/>
          <w:szCs w:val="18"/>
          <w:lang w:val="fr-CA"/>
        </w:rPr>
        <w:t>1</w:t>
      </w:r>
      <w:r w:rsidRPr="00021599">
        <w:rPr>
          <w:sz w:val="18"/>
          <w:szCs w:val="18"/>
          <w:lang w:val="fr-CA"/>
        </w:rPr>
        <w:t xml:space="preserve"> </w:t>
      </w:r>
      <w:proofErr w:type="spellStart"/>
      <w:r w:rsidRPr="00021599">
        <w:rPr>
          <w:sz w:val="18"/>
          <w:szCs w:val="18"/>
          <w:lang w:val="fr-CA"/>
        </w:rPr>
        <w:t>Health</w:t>
      </w:r>
      <w:proofErr w:type="spellEnd"/>
      <w:r w:rsidRPr="00021599">
        <w:rPr>
          <w:sz w:val="18"/>
          <w:szCs w:val="18"/>
          <w:lang w:val="fr-CA"/>
        </w:rPr>
        <w:t xml:space="preserve"> Data </w:t>
      </w:r>
      <w:proofErr w:type="spellStart"/>
      <w:r w:rsidRPr="00021599">
        <w:rPr>
          <w:sz w:val="18"/>
          <w:szCs w:val="18"/>
          <w:lang w:val="fr-CA"/>
        </w:rPr>
        <w:t>Research</w:t>
      </w:r>
      <w:proofErr w:type="spellEnd"/>
      <w:r w:rsidRPr="00021599">
        <w:rPr>
          <w:sz w:val="18"/>
          <w:szCs w:val="18"/>
          <w:lang w:val="fr-CA"/>
        </w:rPr>
        <w:t xml:space="preserve"> Network Canada (HDRN Canada) /</w:t>
      </w:r>
      <w:r w:rsidRPr="00021599">
        <w:rPr>
          <w:rFonts w:ascii="Open Sans" w:hAnsi="Open Sans" w:cs="Open Sans"/>
          <w:color w:val="777777"/>
          <w:sz w:val="18"/>
          <w:szCs w:val="18"/>
          <w:shd w:val="clear" w:color="auto" w:fill="FFFFFF"/>
          <w:lang w:val="fr-CA"/>
        </w:rPr>
        <w:t xml:space="preserve"> </w:t>
      </w:r>
      <w:r w:rsidRPr="00021599">
        <w:rPr>
          <w:sz w:val="18"/>
          <w:szCs w:val="18"/>
          <w:lang w:val="fr-CA"/>
        </w:rPr>
        <w:t xml:space="preserve">Réseau de recherche sur les données de santé du Canada (RRDS Canada) </w:t>
      </w:r>
    </w:p>
    <w:p w14:paraId="66337BAE" w14:textId="6F5C2E7C" w:rsidR="00E80CAF" w:rsidRDefault="00E80CAF" w:rsidP="00E80CAF">
      <w:pPr>
        <w:pStyle w:val="FootnoteText"/>
        <w:rPr>
          <w:sz w:val="18"/>
          <w:szCs w:val="18"/>
          <w:lang w:val="fr-CA"/>
        </w:rPr>
      </w:pPr>
      <w:r w:rsidRPr="008349B3">
        <w:rPr>
          <w:rStyle w:val="FootnoteReference"/>
          <w:sz w:val="18"/>
          <w:szCs w:val="18"/>
          <w:lang w:val="fr-CA"/>
        </w:rPr>
        <w:t>2</w:t>
      </w:r>
      <w:r w:rsidRPr="00021599">
        <w:rPr>
          <w:sz w:val="18"/>
          <w:szCs w:val="18"/>
          <w:lang w:val="fr-CA"/>
        </w:rPr>
        <w:t xml:space="preserve"> </w:t>
      </w:r>
      <w:proofErr w:type="spellStart"/>
      <w:r w:rsidRPr="00021599">
        <w:rPr>
          <w:sz w:val="18"/>
          <w:szCs w:val="18"/>
          <w:lang w:val="fr-CA"/>
        </w:rPr>
        <w:t>Interdisciplinary</w:t>
      </w:r>
      <w:proofErr w:type="spellEnd"/>
      <w:r w:rsidRPr="00021599">
        <w:rPr>
          <w:sz w:val="18"/>
          <w:szCs w:val="18"/>
          <w:lang w:val="fr-CA"/>
        </w:rPr>
        <w:t xml:space="preserve"> </w:t>
      </w:r>
      <w:proofErr w:type="spellStart"/>
      <w:r w:rsidRPr="00021599">
        <w:rPr>
          <w:sz w:val="18"/>
          <w:szCs w:val="18"/>
          <w:lang w:val="fr-CA"/>
        </w:rPr>
        <w:t>Research</w:t>
      </w:r>
      <w:proofErr w:type="spellEnd"/>
      <w:r w:rsidRPr="00021599">
        <w:rPr>
          <w:sz w:val="18"/>
          <w:szCs w:val="18"/>
          <w:lang w:val="fr-CA"/>
        </w:rPr>
        <w:t xml:space="preserve"> Group in </w:t>
      </w:r>
      <w:proofErr w:type="spellStart"/>
      <w:r w:rsidRPr="00021599">
        <w:rPr>
          <w:sz w:val="18"/>
          <w:szCs w:val="18"/>
          <w:lang w:val="fr-CA"/>
        </w:rPr>
        <w:t>Health</w:t>
      </w:r>
      <w:proofErr w:type="spellEnd"/>
      <w:r w:rsidRPr="00021599">
        <w:rPr>
          <w:sz w:val="18"/>
          <w:szCs w:val="18"/>
          <w:lang w:val="fr-CA"/>
        </w:rPr>
        <w:t xml:space="preserve"> </w:t>
      </w:r>
      <w:proofErr w:type="spellStart"/>
      <w:r w:rsidRPr="00021599">
        <w:rPr>
          <w:sz w:val="18"/>
          <w:szCs w:val="18"/>
          <w:lang w:val="fr-CA"/>
        </w:rPr>
        <w:t>Informatics</w:t>
      </w:r>
      <w:proofErr w:type="spellEnd"/>
      <w:r w:rsidRPr="00021599">
        <w:rPr>
          <w:sz w:val="18"/>
          <w:szCs w:val="18"/>
          <w:lang w:val="fr-CA"/>
        </w:rPr>
        <w:t xml:space="preserve">, </w:t>
      </w:r>
      <w:proofErr w:type="spellStart"/>
      <w:r w:rsidRPr="00021599">
        <w:rPr>
          <w:sz w:val="18"/>
          <w:szCs w:val="18"/>
          <w:lang w:val="fr-CA"/>
        </w:rPr>
        <w:t>University</w:t>
      </w:r>
      <w:proofErr w:type="spellEnd"/>
      <w:r w:rsidRPr="00021599">
        <w:rPr>
          <w:sz w:val="18"/>
          <w:szCs w:val="18"/>
          <w:lang w:val="fr-CA"/>
        </w:rPr>
        <w:t xml:space="preserve"> of Sherbrooke/ Groupe de recherche interdisciplinaire en informatique de la santé. (GRIIS), Université de Sherbrooke</w:t>
      </w:r>
    </w:p>
    <w:p w14:paraId="601CBC44" w14:textId="77777777" w:rsidR="00E80CAF" w:rsidRPr="00CC40A8" w:rsidRDefault="00E80CAF" w:rsidP="00E80CAF">
      <w:pPr>
        <w:pStyle w:val="FootnoteText"/>
        <w:rPr>
          <w:sz w:val="18"/>
          <w:szCs w:val="18"/>
        </w:rPr>
      </w:pPr>
      <w:r w:rsidRPr="00CC40A8">
        <w:rPr>
          <w:rStyle w:val="FootnoteReference"/>
          <w:sz w:val="18"/>
          <w:szCs w:val="18"/>
        </w:rPr>
        <w:t>3</w:t>
      </w:r>
      <w:r w:rsidRPr="00CC40A8">
        <w:rPr>
          <w:sz w:val="18"/>
          <w:szCs w:val="18"/>
        </w:rPr>
        <w:t xml:space="preserve"> Author to whom French language communications should be sent to at </w:t>
      </w:r>
      <w:hyperlink r:id="rId11" w:history="1">
        <w:r w:rsidRPr="00CC40A8">
          <w:rPr>
            <w:rStyle w:val="Hyperlink"/>
            <w:sz w:val="18"/>
            <w:szCs w:val="18"/>
          </w:rPr>
          <w:t>annabelle.cumyn@USherbrooke.ca</w:t>
        </w:r>
      </w:hyperlink>
      <w:r w:rsidRPr="00CC40A8">
        <w:rPr>
          <w:sz w:val="18"/>
          <w:szCs w:val="18"/>
        </w:rPr>
        <w:t xml:space="preserve"> </w:t>
      </w:r>
    </w:p>
    <w:p w14:paraId="5F6F0A8E" w14:textId="12B8BDC9" w:rsidR="00E80CAF" w:rsidRDefault="00E80CAF" w:rsidP="00E80CAF">
      <w:pPr>
        <w:spacing w:after="0" w:line="240" w:lineRule="auto"/>
        <w:rPr>
          <w:rStyle w:val="Hyperlink"/>
          <w:sz w:val="18"/>
          <w:szCs w:val="18"/>
        </w:rPr>
      </w:pPr>
      <w:r w:rsidRPr="00CC40A8">
        <w:rPr>
          <w:rStyle w:val="FootnoteReference"/>
          <w:sz w:val="18"/>
          <w:szCs w:val="18"/>
        </w:rPr>
        <w:t>4</w:t>
      </w:r>
      <w:r w:rsidRPr="00CC40A8">
        <w:rPr>
          <w:sz w:val="18"/>
          <w:szCs w:val="18"/>
        </w:rPr>
        <w:t xml:space="preserve"> Author to whom English language communications should be sent to at </w:t>
      </w:r>
      <w:hyperlink r:id="rId12" w:history="1">
        <w:r w:rsidRPr="00CC40A8">
          <w:rPr>
            <w:rStyle w:val="Hyperlink"/>
            <w:sz w:val="18"/>
            <w:szCs w:val="18"/>
          </w:rPr>
          <w:t>alison.paprica@utoronto.ca</w:t>
        </w:r>
      </w:hyperlink>
    </w:p>
    <w:p w14:paraId="7F1DA66B" w14:textId="431E5A66" w:rsidR="00AD5F9D" w:rsidRDefault="009F4896" w:rsidP="009D17F2">
      <w:pPr>
        <w:pStyle w:val="Heading2"/>
      </w:pPr>
      <w:bookmarkStart w:id="0" w:name="_Toc113805523"/>
      <w:bookmarkStart w:id="1" w:name="_Toc113811614"/>
      <w:bookmarkStart w:id="2" w:name="_Toc113424954"/>
      <w:bookmarkStart w:id="3" w:name="_Toc113702897"/>
      <w:bookmarkStart w:id="4" w:name="_Toc113702925"/>
      <w:bookmarkStart w:id="5" w:name="_Toc113710847"/>
      <w:bookmarkStart w:id="6" w:name="_Toc104995148"/>
      <w:bookmarkStart w:id="7" w:name="_Toc105053233"/>
      <w:bookmarkStart w:id="8" w:name="_Toc105054555"/>
      <w:bookmarkStart w:id="9" w:name="_Toc108603493"/>
      <w:bookmarkStart w:id="10" w:name="_Toc108604546"/>
      <w:bookmarkStart w:id="11" w:name="_Toc108605475"/>
      <w:bookmarkStart w:id="12" w:name="_Toc113372687"/>
      <w:bookmarkStart w:id="13" w:name="_Toc113372804"/>
      <w:bookmarkStart w:id="14" w:name="_Toc113424695"/>
      <w:bookmarkStart w:id="15" w:name="_Toc113424754"/>
      <w:bookmarkStart w:id="16" w:name="_Toc113424778"/>
      <w:bookmarkStart w:id="17" w:name="_Toc113424802"/>
      <w:bookmarkStart w:id="18" w:name="_Toc113424862"/>
      <w:r>
        <w:rPr>
          <w:noProof/>
          <w:lang w:val="en-US"/>
        </w:rPr>
        <w:lastRenderedPageBreak/>
        <w:drawing>
          <wp:anchor distT="0" distB="0" distL="114300" distR="114300" simplePos="0" relativeHeight="251676160" behindDoc="1" locked="0" layoutInCell="1" allowOverlap="1" wp14:anchorId="7E7EDF88" wp14:editId="4A701CE8">
            <wp:simplePos x="0" y="0"/>
            <wp:positionH relativeFrom="margin">
              <wp:posOffset>2216150</wp:posOffset>
            </wp:positionH>
            <wp:positionV relativeFrom="paragraph">
              <wp:posOffset>0</wp:posOffset>
            </wp:positionV>
            <wp:extent cx="4188460" cy="4604385"/>
            <wp:effectExtent l="0" t="0" r="2540" b="5715"/>
            <wp:wrapTight wrapText="bothSides">
              <wp:wrapPolygon edited="0">
                <wp:start x="0" y="0"/>
                <wp:lineTo x="0" y="21537"/>
                <wp:lineTo x="21515" y="21537"/>
                <wp:lineTo x="21515" y="0"/>
                <wp:lineTo x="0" y="0"/>
              </wp:wrapPolygon>
            </wp:wrapTight>
            <wp:docPr id="4" name="Picture 4" descr="Table of Contents&#10;&#10;1.0 Summary 2&#10;1.1 Objectives 2&#10;1.2 Highlights 3&#10;1.3 Implications 4&#10;2.0 About health data and social licence 4&#10;2.1 What are health data? 4&#10;2.2 How are health data used? 5&#10;2.3 What is health data social licence? 6&#10;3.0 Essential requirements for health data social licence 6&#10;3.1 Our process for identifying essential requirements 6&#10;3.2 Requirements for health data social licence, by category 7&#10;3.3 Examples of requirements that were essential for many participants 7&#10;3.4 Examples of minority views on essential requirements 8&#10;3.5 Examples of requirements that participants disagreed about 10&#10;4.0 Health data uses and users that are within and outside of social licence 11&#10;4.1 Our process for identifying examples within and outside of social licence 11&#10;4.2 Examples that are WITHIN social licence 11&#10;4.3 Examples that are NOT WITHIN of social licence 11&#10;4.4 Examples that COULD BE WITHIN social licence 11&#10;5.0 Limitations, unanswered questions, and future work 12&#10;6.0 Acknowledgements 13&#10;7.0 List of appendices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of Contents&#10;&#10;1.0 Summary 2&#10;1.1 Objectives 2&#10;1.2 Highlights 3&#10;1.3 Implications 4&#10;2.0 About health data and social licence 4&#10;2.1 What are health data? 4&#10;2.2 How are health data used? 5&#10;2.3 What is health data social licence? 6&#10;3.0 Essential requirements for health data social licence 6&#10;3.1 Our process for identifying essential requirements 6&#10;3.2 Requirements for health data social licence, by category 7&#10;3.3 Examples of requirements that were essential for many participants 7&#10;3.4 Examples of minority views on essential requirements 8&#10;3.5 Examples of requirements that participants disagreed about 10&#10;4.0 Health data uses and users that are within and outside of social licence 11&#10;4.1 Our process for identifying examples within and outside of social licence 11&#10;4.2 Examples that are WITHIN social licence 11&#10;4.3 Examples that are NOT WITHIN of social licence 11&#10;4.4 Examples that COULD BE WITHIN social licence 11&#10;5.0 Limitations, unanswered questions, and future work 12&#10;6.0 Acknowledgements 13&#10;7.0 List of appendices 13&#10;"/>
                    <pic:cNvPicPr/>
                  </pic:nvPicPr>
                  <pic:blipFill>
                    <a:blip r:embed="rId13">
                      <a:extLst>
                        <a:ext uri="{28A0092B-C50C-407E-A947-70E740481C1C}">
                          <a14:useLocalDpi xmlns:a14="http://schemas.microsoft.com/office/drawing/2010/main" val="0"/>
                        </a:ext>
                      </a:extLst>
                    </a:blip>
                    <a:stretch>
                      <a:fillRect/>
                    </a:stretch>
                  </pic:blipFill>
                  <pic:spPr>
                    <a:xfrm>
                      <a:off x="0" y="0"/>
                      <a:ext cx="4188460" cy="4604385"/>
                    </a:xfrm>
                    <a:prstGeom prst="rect">
                      <a:avLst/>
                    </a:prstGeom>
                  </pic:spPr>
                </pic:pic>
              </a:graphicData>
            </a:graphic>
            <wp14:sizeRelH relativeFrom="page">
              <wp14:pctWidth>0</wp14:pctWidth>
            </wp14:sizeRelH>
            <wp14:sizeRelV relativeFrom="page">
              <wp14:pctHeight>0</wp14:pctHeight>
            </wp14:sizeRelV>
          </wp:anchor>
        </w:drawing>
      </w:r>
      <w:r w:rsidR="00AD5F9D">
        <w:t>1.0</w:t>
      </w:r>
      <w:r w:rsidR="00AD5F9D">
        <w:tab/>
        <w:t>Summary</w:t>
      </w:r>
      <w:bookmarkEnd w:id="0"/>
      <w:bookmarkEnd w:id="1"/>
      <w:bookmarkEnd w:id="2"/>
      <w:bookmarkEnd w:id="3"/>
      <w:bookmarkEnd w:id="4"/>
      <w:bookmarkEnd w:id="5"/>
    </w:p>
    <w:p w14:paraId="133D5162" w14:textId="4D22B299" w:rsidR="00506471" w:rsidRPr="00C52D22" w:rsidRDefault="0053285F" w:rsidP="00132D60">
      <w:pPr>
        <w:pStyle w:val="Heading3"/>
      </w:pPr>
      <w:bookmarkStart w:id="19" w:name="_Toc113424955"/>
      <w:bookmarkStart w:id="20" w:name="_Toc113702898"/>
      <w:bookmarkStart w:id="21" w:name="_Toc113702926"/>
      <w:bookmarkStart w:id="22" w:name="_Toc113710848"/>
      <w:bookmarkStart w:id="23" w:name="_Toc113805525"/>
      <w:bookmarkStart w:id="24" w:name="_Toc113811615"/>
      <w:r w:rsidRPr="00C52D22">
        <w:t>1.1</w:t>
      </w:r>
      <w:r w:rsidRPr="00C52D22">
        <w:tab/>
      </w:r>
      <w:r w:rsidR="00213C2D" w:rsidRPr="00C52D22">
        <w:t>Objectives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1249408" w14:textId="0A642AB4" w:rsidR="00213C2D" w:rsidRPr="00C52D22" w:rsidRDefault="00353C80" w:rsidP="00D75248">
      <w:pPr>
        <w:spacing w:line="276" w:lineRule="auto"/>
        <w:rPr>
          <w:sz w:val="24"/>
          <w:szCs w:val="24"/>
        </w:rPr>
      </w:pPr>
      <w:r w:rsidRPr="00C52D22">
        <w:rPr>
          <w:sz w:val="24"/>
          <w:szCs w:val="24"/>
        </w:rPr>
        <w:t>In the last decade</w:t>
      </w:r>
      <w:r w:rsidR="00FB3F33" w:rsidRPr="00C52D22">
        <w:rPr>
          <w:sz w:val="24"/>
          <w:szCs w:val="24"/>
        </w:rPr>
        <w:t xml:space="preserve">, </w:t>
      </w:r>
      <w:r w:rsidRPr="00C52D22">
        <w:rPr>
          <w:sz w:val="24"/>
          <w:szCs w:val="24"/>
        </w:rPr>
        <w:t>multiple</w:t>
      </w:r>
      <w:r w:rsidR="00FB3F33" w:rsidRPr="00C52D22">
        <w:rPr>
          <w:sz w:val="24"/>
          <w:szCs w:val="24"/>
        </w:rPr>
        <w:t xml:space="preserve"> </w:t>
      </w:r>
      <w:r w:rsidRPr="00C52D22">
        <w:rPr>
          <w:sz w:val="24"/>
          <w:szCs w:val="24"/>
        </w:rPr>
        <w:t>research studies</w:t>
      </w:r>
      <w:r w:rsidR="00D75468" w:rsidRPr="00C52D22">
        <w:rPr>
          <w:sz w:val="24"/>
          <w:szCs w:val="24"/>
        </w:rPr>
        <w:t xml:space="preserve"> and </w:t>
      </w:r>
      <w:r w:rsidR="002E029C">
        <w:rPr>
          <w:sz w:val="24"/>
          <w:szCs w:val="24"/>
        </w:rPr>
        <w:t>report</w:t>
      </w:r>
      <w:r w:rsidR="00D75468" w:rsidRPr="00C52D22">
        <w:rPr>
          <w:sz w:val="24"/>
          <w:szCs w:val="24"/>
        </w:rPr>
        <w:t xml:space="preserve">s </w:t>
      </w:r>
      <w:r w:rsidR="00FB3F33" w:rsidRPr="00C52D22">
        <w:rPr>
          <w:sz w:val="24"/>
          <w:szCs w:val="24"/>
        </w:rPr>
        <w:t xml:space="preserve">have </w:t>
      </w:r>
      <w:r w:rsidR="0047706A" w:rsidRPr="00C52D22">
        <w:rPr>
          <w:sz w:val="24"/>
          <w:szCs w:val="24"/>
        </w:rPr>
        <w:t xml:space="preserve">come to </w:t>
      </w:r>
      <w:r w:rsidR="002A2FC1" w:rsidRPr="00C52D22">
        <w:rPr>
          <w:sz w:val="24"/>
          <w:szCs w:val="24"/>
        </w:rPr>
        <w:t xml:space="preserve">the same </w:t>
      </w:r>
      <w:r w:rsidR="0047706A" w:rsidRPr="00C52D22">
        <w:rPr>
          <w:sz w:val="24"/>
          <w:szCs w:val="24"/>
        </w:rPr>
        <w:t>conclusion: m</w:t>
      </w:r>
      <w:r w:rsidR="00FB3F33" w:rsidRPr="00C52D22">
        <w:rPr>
          <w:sz w:val="24"/>
          <w:szCs w:val="24"/>
        </w:rPr>
        <w:t xml:space="preserve">any members of the public </w:t>
      </w:r>
      <w:r w:rsidR="005F5D4E" w:rsidRPr="00C52D22">
        <w:rPr>
          <w:sz w:val="24"/>
          <w:szCs w:val="24"/>
        </w:rPr>
        <w:t xml:space="preserve">support </w:t>
      </w:r>
      <w:r w:rsidR="00FB3F33" w:rsidRPr="00C52D22">
        <w:rPr>
          <w:sz w:val="24"/>
          <w:szCs w:val="24"/>
        </w:rPr>
        <w:t xml:space="preserve">health data </w:t>
      </w:r>
      <w:r w:rsidR="005F5D4E" w:rsidRPr="00C52D22">
        <w:rPr>
          <w:sz w:val="24"/>
          <w:szCs w:val="24"/>
        </w:rPr>
        <w:t>being</w:t>
      </w:r>
      <w:r w:rsidR="00FB3F33" w:rsidRPr="00C52D22">
        <w:rPr>
          <w:sz w:val="24"/>
          <w:szCs w:val="24"/>
        </w:rPr>
        <w:t xml:space="preserve"> used, shared, and reused </w:t>
      </w:r>
      <w:r w:rsidR="005F5D4E" w:rsidRPr="00C52D22">
        <w:rPr>
          <w:sz w:val="24"/>
          <w:szCs w:val="24"/>
        </w:rPr>
        <w:t xml:space="preserve">for public benefit, </w:t>
      </w:r>
      <w:r w:rsidRPr="00C52D22">
        <w:rPr>
          <w:sz w:val="24"/>
          <w:szCs w:val="24"/>
        </w:rPr>
        <w:t xml:space="preserve">but only </w:t>
      </w:r>
      <w:r w:rsidR="00213C2D" w:rsidRPr="00C52D22">
        <w:rPr>
          <w:sz w:val="24"/>
          <w:szCs w:val="24"/>
        </w:rPr>
        <w:t xml:space="preserve">if </w:t>
      </w:r>
      <w:r w:rsidR="002A2FC1" w:rsidRPr="00C52D22">
        <w:rPr>
          <w:sz w:val="24"/>
          <w:szCs w:val="24"/>
        </w:rPr>
        <w:t xml:space="preserve">their </w:t>
      </w:r>
      <w:r w:rsidR="00213C2D" w:rsidRPr="00C52D22">
        <w:rPr>
          <w:sz w:val="24"/>
          <w:szCs w:val="24"/>
        </w:rPr>
        <w:t xml:space="preserve">concerns related to privacy, commercial motives, equity and fairness are addressed. </w:t>
      </w:r>
      <w:r w:rsidR="002A2FC1" w:rsidRPr="00C52D22">
        <w:rPr>
          <w:sz w:val="24"/>
          <w:szCs w:val="24"/>
        </w:rPr>
        <w:t>Increasingly, t</w:t>
      </w:r>
      <w:r w:rsidR="00213C2D" w:rsidRPr="00C52D22">
        <w:rPr>
          <w:sz w:val="24"/>
          <w:szCs w:val="24"/>
        </w:rPr>
        <w:t>he</w:t>
      </w:r>
      <w:r w:rsidR="0047706A" w:rsidRPr="00C52D22">
        <w:rPr>
          <w:sz w:val="24"/>
          <w:szCs w:val="24"/>
        </w:rPr>
        <w:t xml:space="preserve">se </w:t>
      </w:r>
      <w:r w:rsidR="005F5D4E" w:rsidRPr="00C52D22">
        <w:rPr>
          <w:sz w:val="24"/>
          <w:szCs w:val="24"/>
        </w:rPr>
        <w:t xml:space="preserve">studies and </w:t>
      </w:r>
      <w:r w:rsidR="002E029C">
        <w:rPr>
          <w:sz w:val="24"/>
          <w:szCs w:val="24"/>
        </w:rPr>
        <w:t>report</w:t>
      </w:r>
      <w:r w:rsidR="002F4E49" w:rsidRPr="00C52D22">
        <w:rPr>
          <w:sz w:val="24"/>
          <w:szCs w:val="24"/>
        </w:rPr>
        <w:t>s</w:t>
      </w:r>
      <w:r w:rsidR="0047706A" w:rsidRPr="00C52D22">
        <w:rPr>
          <w:sz w:val="24"/>
          <w:szCs w:val="24"/>
        </w:rPr>
        <w:t xml:space="preserve"> use the</w:t>
      </w:r>
      <w:r w:rsidR="00213C2D" w:rsidRPr="00C52D22">
        <w:rPr>
          <w:sz w:val="24"/>
          <w:szCs w:val="24"/>
        </w:rPr>
        <w:t xml:space="preserve"> term “social licence” to describe which uses and users of health data </w:t>
      </w:r>
      <w:r w:rsidR="002A2FC1" w:rsidRPr="00C52D22">
        <w:rPr>
          <w:sz w:val="24"/>
          <w:szCs w:val="24"/>
        </w:rPr>
        <w:t xml:space="preserve">members of the </w:t>
      </w:r>
      <w:r w:rsidR="00213C2D" w:rsidRPr="00C52D22">
        <w:rPr>
          <w:sz w:val="24"/>
          <w:szCs w:val="24"/>
        </w:rPr>
        <w:t>public support</w:t>
      </w:r>
      <w:r w:rsidR="0047706A" w:rsidRPr="00C52D22">
        <w:rPr>
          <w:sz w:val="24"/>
          <w:szCs w:val="24"/>
        </w:rPr>
        <w:t>, and under what conditions.</w:t>
      </w:r>
    </w:p>
    <w:p w14:paraId="139B694B" w14:textId="59501F9D" w:rsidR="008A3858" w:rsidRPr="00C52D22" w:rsidRDefault="00D2735C" w:rsidP="00D75248">
      <w:pPr>
        <w:spacing w:line="276" w:lineRule="auto"/>
        <w:rPr>
          <w:sz w:val="24"/>
          <w:szCs w:val="24"/>
        </w:rPr>
      </w:pPr>
      <w:r w:rsidRPr="00C52D22">
        <w:rPr>
          <w:sz w:val="24"/>
          <w:szCs w:val="24"/>
        </w:rPr>
        <w:t>The aim of th</w:t>
      </w:r>
      <w:r w:rsidR="00901D81">
        <w:rPr>
          <w:sz w:val="24"/>
          <w:szCs w:val="24"/>
        </w:rPr>
        <w:t>is</w:t>
      </w:r>
      <w:r w:rsidRPr="00C52D22">
        <w:rPr>
          <w:sz w:val="24"/>
          <w:szCs w:val="24"/>
        </w:rPr>
        <w:t xml:space="preserve"> </w:t>
      </w:r>
      <w:r w:rsidR="002E029C">
        <w:rPr>
          <w:sz w:val="24"/>
          <w:szCs w:val="24"/>
        </w:rPr>
        <w:t>report</w:t>
      </w:r>
      <w:r w:rsidRPr="00C52D22">
        <w:rPr>
          <w:sz w:val="24"/>
          <w:szCs w:val="24"/>
        </w:rPr>
        <w:t xml:space="preserve"> is </w:t>
      </w:r>
      <w:r w:rsidR="00213C2D" w:rsidRPr="00C52D22">
        <w:rPr>
          <w:sz w:val="24"/>
          <w:szCs w:val="24"/>
        </w:rPr>
        <w:t xml:space="preserve">to complement and build upon the </w:t>
      </w:r>
      <w:r w:rsidR="008233F0">
        <w:rPr>
          <w:sz w:val="24"/>
          <w:szCs w:val="24"/>
        </w:rPr>
        <w:t xml:space="preserve">findings from prior </w:t>
      </w:r>
      <w:r w:rsidR="0047706A" w:rsidRPr="00C52D22">
        <w:rPr>
          <w:sz w:val="24"/>
          <w:szCs w:val="24"/>
        </w:rPr>
        <w:t xml:space="preserve">studies and </w:t>
      </w:r>
      <w:r w:rsidR="002E029C">
        <w:rPr>
          <w:sz w:val="24"/>
          <w:szCs w:val="24"/>
        </w:rPr>
        <w:t>report</w:t>
      </w:r>
      <w:r w:rsidR="0047706A" w:rsidRPr="00C52D22">
        <w:rPr>
          <w:sz w:val="24"/>
          <w:szCs w:val="24"/>
        </w:rPr>
        <w:t>s</w:t>
      </w:r>
      <w:r w:rsidR="00213C2D" w:rsidRPr="00C52D22">
        <w:rPr>
          <w:sz w:val="24"/>
          <w:szCs w:val="24"/>
        </w:rPr>
        <w:t xml:space="preserve"> by adding: </w:t>
      </w:r>
    </w:p>
    <w:p w14:paraId="4FB8C4AC" w14:textId="73C7CDD2" w:rsidR="00D01454" w:rsidRPr="00D01454" w:rsidRDefault="00053066" w:rsidP="00D01454">
      <w:pPr>
        <w:pStyle w:val="ListParagraph"/>
        <w:numPr>
          <w:ilvl w:val="0"/>
          <w:numId w:val="18"/>
        </w:numPr>
        <w:spacing w:line="276" w:lineRule="auto"/>
        <w:rPr>
          <w:sz w:val="24"/>
          <w:szCs w:val="24"/>
        </w:rPr>
      </w:pPr>
      <w:r w:rsidRPr="00D01454">
        <w:rPr>
          <w:sz w:val="24"/>
          <w:szCs w:val="24"/>
        </w:rPr>
        <w:t>E</w:t>
      </w:r>
      <w:r w:rsidR="00B20395" w:rsidRPr="00D01454">
        <w:rPr>
          <w:sz w:val="24"/>
          <w:szCs w:val="24"/>
        </w:rPr>
        <w:t xml:space="preserve">xperienced </w:t>
      </w:r>
      <w:r w:rsidRPr="00D01454">
        <w:rPr>
          <w:sz w:val="24"/>
          <w:szCs w:val="24"/>
        </w:rPr>
        <w:t xml:space="preserve">public and patient </w:t>
      </w:r>
      <w:r w:rsidR="00B20395" w:rsidRPr="00D01454">
        <w:rPr>
          <w:sz w:val="24"/>
          <w:szCs w:val="24"/>
        </w:rPr>
        <w:t xml:space="preserve">advisors’ </w:t>
      </w:r>
      <w:r w:rsidR="008A3858" w:rsidRPr="00D01454">
        <w:rPr>
          <w:sz w:val="24"/>
          <w:szCs w:val="24"/>
        </w:rPr>
        <w:t xml:space="preserve">views </w:t>
      </w:r>
      <w:r w:rsidR="00B1218D" w:rsidRPr="00D01454">
        <w:rPr>
          <w:sz w:val="24"/>
          <w:szCs w:val="24"/>
        </w:rPr>
        <w:t xml:space="preserve">about </w:t>
      </w:r>
      <w:r w:rsidR="00353C80" w:rsidRPr="00D01454">
        <w:rPr>
          <w:sz w:val="24"/>
          <w:szCs w:val="24"/>
        </w:rPr>
        <w:t xml:space="preserve">essential </w:t>
      </w:r>
      <w:r w:rsidRPr="00D01454">
        <w:rPr>
          <w:sz w:val="24"/>
          <w:szCs w:val="24"/>
        </w:rPr>
        <w:t xml:space="preserve">requirements for </w:t>
      </w:r>
      <w:r w:rsidR="00B12582" w:rsidRPr="00D01454">
        <w:rPr>
          <w:sz w:val="24"/>
          <w:szCs w:val="24"/>
        </w:rPr>
        <w:t>a use or use</w:t>
      </w:r>
      <w:r w:rsidR="00B20395" w:rsidRPr="00D01454">
        <w:rPr>
          <w:sz w:val="24"/>
          <w:szCs w:val="24"/>
        </w:rPr>
        <w:t>r</w:t>
      </w:r>
      <w:r w:rsidR="00B12582" w:rsidRPr="00D01454">
        <w:rPr>
          <w:sz w:val="24"/>
          <w:szCs w:val="24"/>
        </w:rPr>
        <w:t xml:space="preserve"> of health data to </w:t>
      </w:r>
      <w:r w:rsidR="00EF6F5F" w:rsidRPr="00D01454">
        <w:rPr>
          <w:sz w:val="24"/>
          <w:szCs w:val="24"/>
        </w:rPr>
        <w:t>be within</w:t>
      </w:r>
      <w:r w:rsidR="00F36022" w:rsidRPr="00D01454">
        <w:rPr>
          <w:sz w:val="24"/>
          <w:szCs w:val="24"/>
        </w:rPr>
        <w:t xml:space="preserve"> social licence</w:t>
      </w:r>
    </w:p>
    <w:p w14:paraId="53F74FFE" w14:textId="7172BEF7" w:rsidR="00D01454" w:rsidRDefault="00053066" w:rsidP="00D01454">
      <w:pPr>
        <w:pStyle w:val="ListParagraph"/>
        <w:numPr>
          <w:ilvl w:val="0"/>
          <w:numId w:val="18"/>
        </w:numPr>
        <w:spacing w:line="276" w:lineRule="auto"/>
        <w:rPr>
          <w:sz w:val="24"/>
          <w:szCs w:val="24"/>
        </w:rPr>
      </w:pPr>
      <w:r w:rsidRPr="00D01454">
        <w:rPr>
          <w:sz w:val="24"/>
          <w:szCs w:val="24"/>
        </w:rPr>
        <w:t>S</w:t>
      </w:r>
      <w:r w:rsidR="00B1218D" w:rsidRPr="00D01454">
        <w:rPr>
          <w:sz w:val="24"/>
          <w:szCs w:val="24"/>
        </w:rPr>
        <w:t>pecific examples</w:t>
      </w:r>
      <w:r w:rsidR="00F36022" w:rsidRPr="00D01454">
        <w:rPr>
          <w:sz w:val="24"/>
          <w:szCs w:val="24"/>
        </w:rPr>
        <w:t xml:space="preserve"> of </w:t>
      </w:r>
      <w:r w:rsidR="00D2735C" w:rsidRPr="00D01454">
        <w:rPr>
          <w:sz w:val="24"/>
          <w:szCs w:val="24"/>
        </w:rPr>
        <w:t xml:space="preserve">health data </w:t>
      </w:r>
      <w:r w:rsidR="00B20395" w:rsidRPr="00D01454">
        <w:rPr>
          <w:sz w:val="24"/>
          <w:szCs w:val="24"/>
        </w:rPr>
        <w:t xml:space="preserve">uses and users </w:t>
      </w:r>
      <w:r w:rsidR="00F36022" w:rsidRPr="00D01454">
        <w:rPr>
          <w:sz w:val="24"/>
          <w:szCs w:val="24"/>
        </w:rPr>
        <w:t xml:space="preserve">that </w:t>
      </w:r>
      <w:r w:rsidR="00353C80" w:rsidRPr="00D01454">
        <w:rPr>
          <w:sz w:val="24"/>
          <w:szCs w:val="24"/>
        </w:rPr>
        <w:t xml:space="preserve">participants agreed </w:t>
      </w:r>
      <w:r w:rsidR="00EF6F5F" w:rsidRPr="00D01454">
        <w:rPr>
          <w:sz w:val="24"/>
          <w:szCs w:val="24"/>
        </w:rPr>
        <w:t xml:space="preserve">are within or outside of </w:t>
      </w:r>
      <w:r w:rsidR="00F36022" w:rsidRPr="00D01454">
        <w:rPr>
          <w:sz w:val="24"/>
          <w:szCs w:val="24"/>
        </w:rPr>
        <w:t>social licence</w:t>
      </w:r>
    </w:p>
    <w:p w14:paraId="1045FB30" w14:textId="45599B15" w:rsidR="00D01454" w:rsidRDefault="00EF6F5F" w:rsidP="00D01454">
      <w:pPr>
        <w:pStyle w:val="ListParagraph"/>
        <w:numPr>
          <w:ilvl w:val="0"/>
          <w:numId w:val="18"/>
        </w:numPr>
        <w:spacing w:line="276" w:lineRule="auto"/>
        <w:rPr>
          <w:sz w:val="24"/>
          <w:szCs w:val="24"/>
        </w:rPr>
      </w:pPr>
      <w:r w:rsidRPr="00D01454">
        <w:rPr>
          <w:sz w:val="24"/>
          <w:szCs w:val="24"/>
        </w:rPr>
        <w:t>Attention to t</w:t>
      </w:r>
      <w:r w:rsidR="002A2FC1" w:rsidRPr="00D01454">
        <w:rPr>
          <w:sz w:val="24"/>
          <w:szCs w:val="24"/>
        </w:rPr>
        <w:t>he views</w:t>
      </w:r>
      <w:r w:rsidR="00B20BF1" w:rsidRPr="00D01454">
        <w:rPr>
          <w:sz w:val="24"/>
          <w:szCs w:val="24"/>
        </w:rPr>
        <w:t xml:space="preserve"> of</w:t>
      </w:r>
      <w:r w:rsidR="00053066" w:rsidRPr="00D01454">
        <w:rPr>
          <w:sz w:val="24"/>
          <w:szCs w:val="24"/>
        </w:rPr>
        <w:t xml:space="preserve"> </w:t>
      </w:r>
      <w:r w:rsidR="002A2FC1" w:rsidRPr="00D01454">
        <w:rPr>
          <w:sz w:val="24"/>
          <w:szCs w:val="24"/>
        </w:rPr>
        <w:t>individuals</w:t>
      </w:r>
      <w:r w:rsidR="00053066" w:rsidRPr="00D01454">
        <w:rPr>
          <w:sz w:val="24"/>
          <w:szCs w:val="24"/>
        </w:rPr>
        <w:t xml:space="preserve"> </w:t>
      </w:r>
      <w:r w:rsidRPr="00D01454">
        <w:rPr>
          <w:sz w:val="24"/>
          <w:szCs w:val="24"/>
        </w:rPr>
        <w:t xml:space="preserve">who </w:t>
      </w:r>
      <w:r w:rsidR="00D72F4B" w:rsidRPr="00D01454">
        <w:rPr>
          <w:sz w:val="24"/>
          <w:szCs w:val="24"/>
        </w:rPr>
        <w:t xml:space="preserve">have different needs and expectations than most </w:t>
      </w:r>
      <w:r w:rsidRPr="00D01454">
        <w:rPr>
          <w:sz w:val="24"/>
          <w:szCs w:val="24"/>
        </w:rPr>
        <w:t xml:space="preserve">other </w:t>
      </w:r>
      <w:r w:rsidR="00D72F4B" w:rsidRPr="00D01454">
        <w:rPr>
          <w:sz w:val="24"/>
          <w:szCs w:val="24"/>
        </w:rPr>
        <w:t>people</w:t>
      </w:r>
      <w:r w:rsidR="00213C2D" w:rsidRPr="00D01454">
        <w:rPr>
          <w:sz w:val="24"/>
          <w:szCs w:val="24"/>
        </w:rPr>
        <w:t xml:space="preserve"> </w:t>
      </w:r>
      <w:r w:rsidR="00C330A7" w:rsidRPr="00D01454">
        <w:rPr>
          <w:sz w:val="24"/>
          <w:szCs w:val="24"/>
        </w:rPr>
        <w:t>(</w:t>
      </w:r>
      <w:r w:rsidR="00213C2D" w:rsidRPr="00D01454">
        <w:rPr>
          <w:sz w:val="24"/>
          <w:szCs w:val="24"/>
        </w:rPr>
        <w:t xml:space="preserve">which may not have been captured in </w:t>
      </w:r>
      <w:r w:rsidR="00D2735C" w:rsidRPr="00D01454">
        <w:rPr>
          <w:sz w:val="24"/>
          <w:szCs w:val="24"/>
        </w:rPr>
        <w:t xml:space="preserve">previous </w:t>
      </w:r>
      <w:r w:rsidR="002E029C">
        <w:rPr>
          <w:sz w:val="24"/>
          <w:szCs w:val="24"/>
        </w:rPr>
        <w:t>report</w:t>
      </w:r>
      <w:r w:rsidR="00213C2D" w:rsidRPr="00D01454">
        <w:rPr>
          <w:sz w:val="24"/>
          <w:szCs w:val="24"/>
        </w:rPr>
        <w:t>s and studies that focus</w:t>
      </w:r>
      <w:r w:rsidR="0047706A" w:rsidRPr="00D01454">
        <w:rPr>
          <w:sz w:val="24"/>
          <w:szCs w:val="24"/>
        </w:rPr>
        <w:t>ed</w:t>
      </w:r>
      <w:r w:rsidR="00213C2D" w:rsidRPr="00D01454">
        <w:rPr>
          <w:sz w:val="24"/>
          <w:szCs w:val="24"/>
        </w:rPr>
        <w:t xml:space="preserve"> on identifying</w:t>
      </w:r>
      <w:r w:rsidR="0047706A" w:rsidRPr="00D01454">
        <w:rPr>
          <w:sz w:val="24"/>
          <w:szCs w:val="24"/>
        </w:rPr>
        <w:t xml:space="preserve"> </w:t>
      </w:r>
      <w:r w:rsidR="002A2FC1" w:rsidRPr="00D01454">
        <w:rPr>
          <w:sz w:val="24"/>
          <w:szCs w:val="24"/>
        </w:rPr>
        <w:t>ma</w:t>
      </w:r>
      <w:r w:rsidR="00901D81">
        <w:rPr>
          <w:sz w:val="24"/>
          <w:szCs w:val="24"/>
        </w:rPr>
        <w:t>in</w:t>
      </w:r>
      <w:r w:rsidR="002A2FC1" w:rsidRPr="00D01454">
        <w:rPr>
          <w:sz w:val="24"/>
          <w:szCs w:val="24"/>
        </w:rPr>
        <w:t xml:space="preserve"> </w:t>
      </w:r>
      <w:r w:rsidR="0047706A" w:rsidRPr="00D01454">
        <w:rPr>
          <w:sz w:val="24"/>
          <w:szCs w:val="24"/>
        </w:rPr>
        <w:t>themes and</w:t>
      </w:r>
      <w:r w:rsidR="00213C2D" w:rsidRPr="00D01454">
        <w:rPr>
          <w:sz w:val="24"/>
          <w:szCs w:val="24"/>
        </w:rPr>
        <w:t xml:space="preserve"> majority views</w:t>
      </w:r>
      <w:r w:rsidR="00C330A7" w:rsidRPr="00D01454">
        <w:rPr>
          <w:sz w:val="24"/>
          <w:szCs w:val="24"/>
        </w:rPr>
        <w:t>)</w:t>
      </w:r>
    </w:p>
    <w:p w14:paraId="428E45C0" w14:textId="43AD0C76" w:rsidR="00DF4698" w:rsidRPr="009970E5" w:rsidRDefault="009970E5" w:rsidP="009970E5">
      <w:pPr>
        <w:spacing w:line="276" w:lineRule="auto"/>
        <w:rPr>
          <w:sz w:val="24"/>
          <w:szCs w:val="24"/>
        </w:rPr>
      </w:pPr>
      <w:bookmarkStart w:id="25" w:name="_Toc104995149"/>
      <w:bookmarkStart w:id="26" w:name="_Toc105053234"/>
      <w:bookmarkStart w:id="27" w:name="_Toc105054556"/>
      <w:bookmarkStart w:id="28" w:name="_Toc108603494"/>
      <w:bookmarkStart w:id="29" w:name="_Toc108604547"/>
      <w:bookmarkStart w:id="30" w:name="_Toc108605476"/>
      <w:bookmarkStart w:id="31" w:name="_Toc113372688"/>
      <w:bookmarkStart w:id="32" w:name="_Toc113372805"/>
      <w:r w:rsidRPr="009970E5">
        <w:rPr>
          <w:sz w:val="24"/>
          <w:szCs w:val="24"/>
        </w:rPr>
        <w:t xml:space="preserve">The </w:t>
      </w:r>
      <w:r>
        <w:rPr>
          <w:sz w:val="24"/>
          <w:szCs w:val="24"/>
        </w:rPr>
        <w:t xml:space="preserve">views </w:t>
      </w:r>
      <w:r w:rsidRPr="009970E5">
        <w:rPr>
          <w:sz w:val="24"/>
          <w:szCs w:val="24"/>
        </w:rPr>
        <w:t>captured in this</w:t>
      </w:r>
      <w:r w:rsidR="00CB6955">
        <w:rPr>
          <w:sz w:val="24"/>
          <w:szCs w:val="24"/>
        </w:rPr>
        <w:t xml:space="preserve"> </w:t>
      </w:r>
      <w:r w:rsidR="002E029C">
        <w:rPr>
          <w:sz w:val="24"/>
          <w:szCs w:val="24"/>
        </w:rPr>
        <w:t>report</w:t>
      </w:r>
      <w:r w:rsidRPr="009970E5">
        <w:rPr>
          <w:sz w:val="24"/>
          <w:szCs w:val="24"/>
        </w:rPr>
        <w:t xml:space="preserve"> are those of a group of </w:t>
      </w:r>
      <w:r w:rsidR="008E2B1A">
        <w:rPr>
          <w:sz w:val="24"/>
          <w:szCs w:val="24"/>
        </w:rPr>
        <w:t>20</w:t>
      </w:r>
      <w:r w:rsidR="008E2B1A" w:rsidRPr="009970E5">
        <w:rPr>
          <w:sz w:val="24"/>
          <w:szCs w:val="24"/>
        </w:rPr>
        <w:t xml:space="preserve"> </w:t>
      </w:r>
      <w:r w:rsidRPr="009970E5">
        <w:rPr>
          <w:sz w:val="24"/>
          <w:szCs w:val="24"/>
        </w:rPr>
        <w:t xml:space="preserve">experienced public and patient advisors (10 French speaking, 10 English speaking). </w:t>
      </w:r>
      <w:r w:rsidR="00DF4698">
        <w:rPr>
          <w:sz w:val="24"/>
          <w:szCs w:val="24"/>
        </w:rPr>
        <w:t>The</w:t>
      </w:r>
      <w:r w:rsidRPr="009970E5">
        <w:rPr>
          <w:sz w:val="24"/>
          <w:szCs w:val="24"/>
        </w:rPr>
        <w:t xml:space="preserve"> term “participants” refer</w:t>
      </w:r>
      <w:r w:rsidR="00DF4698">
        <w:rPr>
          <w:sz w:val="24"/>
          <w:szCs w:val="24"/>
        </w:rPr>
        <w:t>s</w:t>
      </w:r>
      <w:r w:rsidRPr="009970E5">
        <w:rPr>
          <w:sz w:val="24"/>
          <w:szCs w:val="24"/>
        </w:rPr>
        <w:t xml:space="preserve"> to this group noting that, in contrast with the participants of most research projects, the participants for this project were content creators and co-authors, not the objects of the study. The process to </w:t>
      </w:r>
      <w:r w:rsidR="00426CEF">
        <w:rPr>
          <w:sz w:val="24"/>
          <w:szCs w:val="24"/>
        </w:rPr>
        <w:t>learn</w:t>
      </w:r>
      <w:r w:rsidR="00426CEF" w:rsidRPr="009970E5">
        <w:rPr>
          <w:sz w:val="24"/>
          <w:szCs w:val="24"/>
        </w:rPr>
        <w:t xml:space="preserve"> </w:t>
      </w:r>
      <w:r w:rsidRPr="009970E5">
        <w:rPr>
          <w:sz w:val="24"/>
          <w:szCs w:val="24"/>
        </w:rPr>
        <w:t>participant</w:t>
      </w:r>
      <w:r w:rsidR="00426CEF">
        <w:rPr>
          <w:sz w:val="24"/>
          <w:szCs w:val="24"/>
        </w:rPr>
        <w:t>s’</w:t>
      </w:r>
      <w:r w:rsidRPr="009970E5">
        <w:rPr>
          <w:sz w:val="24"/>
          <w:szCs w:val="24"/>
        </w:rPr>
        <w:t xml:space="preserve"> views</w:t>
      </w:r>
      <w:r w:rsidR="00426CEF">
        <w:rPr>
          <w:sz w:val="24"/>
          <w:szCs w:val="24"/>
        </w:rPr>
        <w:t>,</w:t>
      </w:r>
      <w:r w:rsidRPr="009970E5">
        <w:rPr>
          <w:sz w:val="24"/>
          <w:szCs w:val="24"/>
        </w:rPr>
        <w:t xml:space="preserve"> and writing of th</w:t>
      </w:r>
      <w:r w:rsidR="00426CEF">
        <w:rPr>
          <w:sz w:val="24"/>
          <w:szCs w:val="24"/>
        </w:rPr>
        <w:t>is</w:t>
      </w:r>
      <w:r w:rsidR="00CB6955">
        <w:rPr>
          <w:sz w:val="24"/>
          <w:szCs w:val="24"/>
        </w:rPr>
        <w:t xml:space="preserve"> </w:t>
      </w:r>
      <w:r w:rsidR="002E029C">
        <w:rPr>
          <w:sz w:val="24"/>
          <w:szCs w:val="24"/>
        </w:rPr>
        <w:t>report</w:t>
      </w:r>
      <w:r w:rsidR="00426CEF">
        <w:rPr>
          <w:sz w:val="24"/>
          <w:szCs w:val="24"/>
        </w:rPr>
        <w:t>,</w:t>
      </w:r>
      <w:r w:rsidRPr="009970E5">
        <w:rPr>
          <w:sz w:val="24"/>
          <w:szCs w:val="24"/>
        </w:rPr>
        <w:t xml:space="preserve"> were led by a team of four representatives from Health Data Research Network Canada (HDRN Canada) and Groupe de recherche </w:t>
      </w:r>
      <w:proofErr w:type="spellStart"/>
      <w:r w:rsidRPr="009970E5">
        <w:rPr>
          <w:sz w:val="24"/>
          <w:szCs w:val="24"/>
        </w:rPr>
        <w:t>interdisciplinaire</w:t>
      </w:r>
      <w:proofErr w:type="spellEnd"/>
      <w:r w:rsidRPr="009970E5">
        <w:rPr>
          <w:sz w:val="24"/>
          <w:szCs w:val="24"/>
        </w:rPr>
        <w:t xml:space="preserve"> </w:t>
      </w:r>
      <w:proofErr w:type="spellStart"/>
      <w:r w:rsidRPr="009970E5">
        <w:rPr>
          <w:sz w:val="24"/>
          <w:szCs w:val="24"/>
        </w:rPr>
        <w:t>en</w:t>
      </w:r>
      <w:proofErr w:type="spellEnd"/>
      <w:r w:rsidRPr="009970E5">
        <w:rPr>
          <w:sz w:val="24"/>
          <w:szCs w:val="24"/>
        </w:rPr>
        <w:t xml:space="preserve"> </w:t>
      </w:r>
      <w:proofErr w:type="spellStart"/>
      <w:r w:rsidRPr="009970E5">
        <w:rPr>
          <w:sz w:val="24"/>
          <w:szCs w:val="24"/>
        </w:rPr>
        <w:t>informatique</w:t>
      </w:r>
      <w:proofErr w:type="spellEnd"/>
      <w:r w:rsidRPr="009970E5">
        <w:rPr>
          <w:sz w:val="24"/>
          <w:szCs w:val="24"/>
        </w:rPr>
        <w:t xml:space="preserve"> de la santé (GRIIS).</w:t>
      </w:r>
      <w:r w:rsidR="008E4F00" w:rsidRPr="008E4F00">
        <w:rPr>
          <w:sz w:val="24"/>
          <w:szCs w:val="24"/>
        </w:rPr>
        <w:t xml:space="preserve"> </w:t>
      </w:r>
      <w:r w:rsidR="008E4F00" w:rsidRPr="00E02108">
        <w:rPr>
          <w:sz w:val="24"/>
          <w:szCs w:val="24"/>
        </w:rPr>
        <w:lastRenderedPageBreak/>
        <w:t xml:space="preserve">The pronoun </w:t>
      </w:r>
      <w:r w:rsidR="008E4F00" w:rsidRPr="008E4F00">
        <w:rPr>
          <w:sz w:val="24"/>
          <w:szCs w:val="24"/>
        </w:rPr>
        <w:t>“</w:t>
      </w:r>
      <w:r w:rsidR="008E4F00" w:rsidRPr="00E02108">
        <w:rPr>
          <w:sz w:val="24"/>
          <w:szCs w:val="24"/>
        </w:rPr>
        <w:t>we</w:t>
      </w:r>
      <w:r w:rsidR="00843A9D">
        <w:rPr>
          <w:sz w:val="24"/>
          <w:szCs w:val="24"/>
        </w:rPr>
        <w:t>” used throughout this report</w:t>
      </w:r>
      <w:r w:rsidR="008E4F00" w:rsidRPr="008E4F00">
        <w:rPr>
          <w:sz w:val="24"/>
          <w:szCs w:val="24"/>
        </w:rPr>
        <w:t xml:space="preserve"> is </w:t>
      </w:r>
      <w:r w:rsidR="008E4F00" w:rsidRPr="00E02108">
        <w:rPr>
          <w:sz w:val="24"/>
          <w:szCs w:val="24"/>
        </w:rPr>
        <w:t xml:space="preserve">inclusive of all listed authors, including those identified as </w:t>
      </w:r>
      <w:r w:rsidR="008E4F00" w:rsidRPr="007A62EA">
        <w:rPr>
          <w:sz w:val="24"/>
          <w:szCs w:val="24"/>
        </w:rPr>
        <w:t>participants.</w:t>
      </w:r>
    </w:p>
    <w:p w14:paraId="384E2928" w14:textId="05B2B3EC" w:rsidR="005317B0" w:rsidRPr="00C52D22" w:rsidRDefault="57D42859" w:rsidP="57D42859">
      <w:pPr>
        <w:pStyle w:val="Heading3"/>
        <w:rPr>
          <w:sz w:val="24"/>
        </w:rPr>
      </w:pPr>
      <w:bookmarkStart w:id="33" w:name="_Toc113424696"/>
      <w:bookmarkStart w:id="34" w:name="_Toc113424755"/>
      <w:bookmarkStart w:id="35" w:name="_Toc113424779"/>
      <w:bookmarkStart w:id="36" w:name="_Toc113424803"/>
      <w:bookmarkStart w:id="37" w:name="_Toc113424863"/>
      <w:bookmarkStart w:id="38" w:name="_Toc113424956"/>
      <w:bookmarkStart w:id="39" w:name="_Toc113702899"/>
      <w:bookmarkStart w:id="40" w:name="_Toc113702927"/>
      <w:bookmarkStart w:id="41" w:name="_Toc113710849"/>
      <w:bookmarkStart w:id="42" w:name="_Toc113805526"/>
      <w:bookmarkStart w:id="43" w:name="_Toc113811616"/>
      <w:r w:rsidRPr="00C52D22">
        <w:t>1.2</w:t>
      </w:r>
      <w:r w:rsidR="00D72F4B" w:rsidRPr="00C52D22">
        <w:tab/>
      </w:r>
      <w:r w:rsidRPr="00C52D22">
        <w:t>Highlights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AC52473" w14:textId="75E43A27" w:rsidR="00164FC0" w:rsidRPr="00C52D22" w:rsidRDefault="009D17F2" w:rsidP="008F28B7">
      <w:pPr>
        <w:pStyle w:val="ListParagraph"/>
        <w:numPr>
          <w:ilvl w:val="0"/>
          <w:numId w:val="12"/>
        </w:numPr>
        <w:spacing w:before="100" w:after="200" w:line="276" w:lineRule="auto"/>
        <w:rPr>
          <w:sz w:val="24"/>
          <w:szCs w:val="24"/>
        </w:rPr>
      </w:pPr>
      <w:r>
        <w:rPr>
          <w:b/>
          <w:bCs/>
          <w:sz w:val="24"/>
          <w:szCs w:val="24"/>
        </w:rPr>
        <w:t>Participants</w:t>
      </w:r>
      <w:r w:rsidR="0079797D">
        <w:rPr>
          <w:b/>
          <w:bCs/>
          <w:sz w:val="24"/>
          <w:szCs w:val="24"/>
        </w:rPr>
        <w:t xml:space="preserve"> h</w:t>
      </w:r>
      <w:r w:rsidR="00F367BE" w:rsidRPr="00C52D22">
        <w:rPr>
          <w:b/>
          <w:bCs/>
          <w:sz w:val="24"/>
          <w:szCs w:val="24"/>
        </w:rPr>
        <w:t>ad a d</w:t>
      </w:r>
      <w:r w:rsidR="0020006A" w:rsidRPr="00C52D22">
        <w:rPr>
          <w:b/>
          <w:bCs/>
          <w:sz w:val="24"/>
          <w:szCs w:val="24"/>
        </w:rPr>
        <w:t>iversity of views:</w:t>
      </w:r>
      <w:r w:rsidR="0020006A" w:rsidRPr="00C52D22">
        <w:rPr>
          <w:sz w:val="24"/>
          <w:szCs w:val="24"/>
        </w:rPr>
        <w:t xml:space="preserve"> </w:t>
      </w:r>
      <w:r w:rsidR="00164FC0" w:rsidRPr="00C52D22">
        <w:rPr>
          <w:sz w:val="24"/>
          <w:szCs w:val="24"/>
        </w:rPr>
        <w:t>Twenty experienced public and patient advisors</w:t>
      </w:r>
      <w:r w:rsidR="00053066" w:rsidRPr="00C52D22">
        <w:rPr>
          <w:sz w:val="24"/>
          <w:szCs w:val="24"/>
        </w:rPr>
        <w:t xml:space="preserve"> had </w:t>
      </w:r>
      <w:r w:rsidR="00164FC0" w:rsidRPr="00C52D22">
        <w:rPr>
          <w:sz w:val="24"/>
          <w:szCs w:val="24"/>
        </w:rPr>
        <w:t>different views about what constitutes an essential requirement for a health data use and/or user</w:t>
      </w:r>
      <w:r w:rsidR="00053066" w:rsidRPr="00C52D22">
        <w:rPr>
          <w:sz w:val="24"/>
          <w:szCs w:val="24"/>
        </w:rPr>
        <w:t xml:space="preserve"> to </w:t>
      </w:r>
      <w:r w:rsidR="00EF6F5F" w:rsidRPr="00C52D22">
        <w:rPr>
          <w:sz w:val="24"/>
          <w:szCs w:val="24"/>
        </w:rPr>
        <w:t>be within</w:t>
      </w:r>
      <w:r w:rsidR="00053066" w:rsidRPr="00C52D22">
        <w:rPr>
          <w:sz w:val="24"/>
          <w:szCs w:val="24"/>
        </w:rPr>
        <w:t xml:space="preserve"> social licence</w:t>
      </w:r>
      <w:r w:rsidR="00F367BE" w:rsidRPr="00C52D22">
        <w:rPr>
          <w:sz w:val="24"/>
          <w:szCs w:val="24"/>
        </w:rPr>
        <w:t>.</w:t>
      </w:r>
    </w:p>
    <w:p w14:paraId="68141622" w14:textId="4F97E846" w:rsidR="00164FC0" w:rsidRPr="00C52D22" w:rsidRDefault="00053066" w:rsidP="008F28B7">
      <w:pPr>
        <w:pStyle w:val="ListParagraph"/>
        <w:numPr>
          <w:ilvl w:val="0"/>
          <w:numId w:val="12"/>
        </w:numPr>
        <w:spacing w:before="100" w:after="200" w:line="276" w:lineRule="auto"/>
        <w:rPr>
          <w:sz w:val="24"/>
          <w:szCs w:val="24"/>
        </w:rPr>
      </w:pPr>
      <w:r w:rsidRPr="00C52D22">
        <w:rPr>
          <w:b/>
          <w:bCs/>
          <w:sz w:val="24"/>
          <w:szCs w:val="24"/>
        </w:rPr>
        <w:t>Dialogue did not lead to consensus about which requirements are essential</w:t>
      </w:r>
      <w:r w:rsidR="0020006A" w:rsidRPr="00C52D22">
        <w:rPr>
          <w:b/>
          <w:bCs/>
          <w:sz w:val="24"/>
          <w:szCs w:val="24"/>
        </w:rPr>
        <w:t>:</w:t>
      </w:r>
      <w:r w:rsidR="0020006A" w:rsidRPr="00C52D22">
        <w:rPr>
          <w:sz w:val="24"/>
          <w:szCs w:val="24"/>
        </w:rPr>
        <w:t xml:space="preserve"> </w:t>
      </w:r>
      <w:r w:rsidR="005C38A9">
        <w:rPr>
          <w:sz w:val="24"/>
          <w:szCs w:val="24"/>
        </w:rPr>
        <w:t>By the end of the process,</w:t>
      </w:r>
      <w:r w:rsidR="009D17F2">
        <w:rPr>
          <w:sz w:val="24"/>
          <w:szCs w:val="24"/>
        </w:rPr>
        <w:t xml:space="preserve"> the participants </w:t>
      </w:r>
      <w:r w:rsidR="00ED6DB5">
        <w:rPr>
          <w:sz w:val="24"/>
          <w:szCs w:val="24"/>
        </w:rPr>
        <w:t xml:space="preserve">had </w:t>
      </w:r>
      <w:r w:rsidR="009D17F2">
        <w:rPr>
          <w:sz w:val="24"/>
          <w:szCs w:val="24"/>
        </w:rPr>
        <w:t>generated</w:t>
      </w:r>
      <w:r w:rsidR="0079797D">
        <w:rPr>
          <w:sz w:val="24"/>
          <w:szCs w:val="24"/>
        </w:rPr>
        <w:t xml:space="preserve"> </w:t>
      </w:r>
      <w:r w:rsidR="005C38A9">
        <w:rPr>
          <w:sz w:val="24"/>
          <w:szCs w:val="24"/>
        </w:rPr>
        <w:t>a list of 85 essential requirements</w:t>
      </w:r>
      <w:r w:rsidR="00164FC0" w:rsidRPr="00C52D22">
        <w:rPr>
          <w:sz w:val="24"/>
          <w:szCs w:val="24"/>
        </w:rPr>
        <w:t>.</w:t>
      </w:r>
    </w:p>
    <w:p w14:paraId="7320C272" w14:textId="622D95CC" w:rsidR="008F28B7" w:rsidRPr="00C52D22" w:rsidRDefault="002906F5" w:rsidP="008F28B7">
      <w:pPr>
        <w:pStyle w:val="ListParagraph"/>
        <w:numPr>
          <w:ilvl w:val="0"/>
          <w:numId w:val="12"/>
        </w:numPr>
        <w:spacing w:before="100" w:after="200" w:line="276" w:lineRule="auto"/>
        <w:rPr>
          <w:sz w:val="24"/>
          <w:szCs w:val="24"/>
        </w:rPr>
      </w:pPr>
      <w:r>
        <w:rPr>
          <w:b/>
          <w:bCs/>
          <w:sz w:val="24"/>
          <w:szCs w:val="24"/>
        </w:rPr>
        <w:t xml:space="preserve">There was disagreement </w:t>
      </w:r>
      <w:r w:rsidR="0027460B">
        <w:rPr>
          <w:b/>
          <w:bCs/>
          <w:sz w:val="24"/>
          <w:szCs w:val="24"/>
        </w:rPr>
        <w:t>about requirements</w:t>
      </w:r>
      <w:r w:rsidR="009D17F2">
        <w:rPr>
          <w:b/>
          <w:bCs/>
          <w:sz w:val="24"/>
          <w:szCs w:val="24"/>
        </w:rPr>
        <w:t xml:space="preserve"> in some cases</w:t>
      </w:r>
      <w:r w:rsidR="0020006A" w:rsidRPr="00C52D22">
        <w:rPr>
          <w:b/>
          <w:bCs/>
          <w:sz w:val="24"/>
          <w:szCs w:val="24"/>
        </w:rPr>
        <w:t>:</w:t>
      </w:r>
      <w:r w:rsidR="0020006A" w:rsidRPr="00C52D22">
        <w:rPr>
          <w:sz w:val="24"/>
          <w:szCs w:val="24"/>
        </w:rPr>
        <w:t xml:space="preserve"> </w:t>
      </w:r>
      <w:r w:rsidR="00164FC0" w:rsidRPr="00C52D22">
        <w:rPr>
          <w:sz w:val="24"/>
          <w:szCs w:val="24"/>
        </w:rPr>
        <w:t xml:space="preserve">Some </w:t>
      </w:r>
      <w:r w:rsidR="00B17A30" w:rsidRPr="00C52D22">
        <w:rPr>
          <w:sz w:val="24"/>
          <w:szCs w:val="24"/>
        </w:rPr>
        <w:t xml:space="preserve">participants </w:t>
      </w:r>
      <w:r w:rsidR="00164FC0" w:rsidRPr="00C52D22">
        <w:rPr>
          <w:sz w:val="24"/>
          <w:szCs w:val="24"/>
        </w:rPr>
        <w:t>were actively opposed to requirements that other participants thought were essential.</w:t>
      </w:r>
    </w:p>
    <w:p w14:paraId="13C1545C" w14:textId="33BE5C0D" w:rsidR="00164FC0" w:rsidRPr="00C52D22" w:rsidRDefault="00AE44F3" w:rsidP="008F28B7">
      <w:pPr>
        <w:pStyle w:val="ListParagraph"/>
        <w:numPr>
          <w:ilvl w:val="0"/>
          <w:numId w:val="12"/>
        </w:numPr>
        <w:spacing w:before="100" w:after="200" w:line="276" w:lineRule="auto"/>
        <w:rPr>
          <w:sz w:val="24"/>
          <w:szCs w:val="24"/>
        </w:rPr>
      </w:pPr>
      <w:r>
        <w:rPr>
          <w:b/>
          <w:bCs/>
          <w:sz w:val="24"/>
          <w:szCs w:val="24"/>
        </w:rPr>
        <w:t>Participants agreed on</w:t>
      </w:r>
      <w:r w:rsidR="001C6D6C">
        <w:rPr>
          <w:b/>
          <w:bCs/>
          <w:sz w:val="24"/>
          <w:szCs w:val="24"/>
        </w:rPr>
        <w:t xml:space="preserve"> three examples </w:t>
      </w:r>
      <w:r>
        <w:rPr>
          <w:b/>
          <w:bCs/>
          <w:sz w:val="24"/>
          <w:szCs w:val="24"/>
        </w:rPr>
        <w:t xml:space="preserve">being </w:t>
      </w:r>
      <w:r w:rsidR="001C6D6C">
        <w:rPr>
          <w:b/>
          <w:bCs/>
          <w:sz w:val="24"/>
          <w:szCs w:val="24"/>
        </w:rPr>
        <w:t xml:space="preserve">within </w:t>
      </w:r>
      <w:r w:rsidR="00353C80" w:rsidRPr="00C52D22">
        <w:rPr>
          <w:b/>
          <w:bCs/>
          <w:sz w:val="24"/>
          <w:szCs w:val="24"/>
        </w:rPr>
        <w:t>social licence</w:t>
      </w:r>
      <w:r w:rsidR="008F28B7" w:rsidRPr="00C52D22">
        <w:rPr>
          <w:sz w:val="24"/>
          <w:szCs w:val="24"/>
        </w:rPr>
        <w:t>:</w:t>
      </w:r>
    </w:p>
    <w:p w14:paraId="7ACE06F7" w14:textId="63E93D30" w:rsidR="00164FC0" w:rsidRPr="00C52D22" w:rsidRDefault="00164FC0" w:rsidP="00164FC0">
      <w:pPr>
        <w:pStyle w:val="ListParagraph"/>
        <w:numPr>
          <w:ilvl w:val="1"/>
          <w:numId w:val="9"/>
        </w:numPr>
        <w:spacing w:before="100" w:after="200" w:line="276" w:lineRule="auto"/>
        <w:rPr>
          <w:sz w:val="24"/>
          <w:szCs w:val="24"/>
        </w:rPr>
      </w:pPr>
      <w:r w:rsidRPr="00C52D22">
        <w:rPr>
          <w:sz w:val="24"/>
          <w:szCs w:val="24"/>
        </w:rPr>
        <w:t xml:space="preserve">It is </w:t>
      </w:r>
      <w:r w:rsidR="00EF6F5F" w:rsidRPr="00C52D22">
        <w:rPr>
          <w:sz w:val="24"/>
          <w:szCs w:val="24"/>
        </w:rPr>
        <w:t>within</w:t>
      </w:r>
      <w:r w:rsidRPr="00C52D22">
        <w:rPr>
          <w:sz w:val="24"/>
          <w:szCs w:val="24"/>
        </w:rPr>
        <w:t xml:space="preserve"> social licence for health data to be used by </w:t>
      </w:r>
      <w:r w:rsidR="00953769">
        <w:rPr>
          <w:sz w:val="24"/>
          <w:szCs w:val="24"/>
        </w:rPr>
        <w:t>healthcare</w:t>
      </w:r>
      <w:r w:rsidRPr="00C52D22">
        <w:rPr>
          <w:sz w:val="24"/>
          <w:szCs w:val="24"/>
        </w:rPr>
        <w:t xml:space="preserve"> practitioners to directly improve the </w:t>
      </w:r>
      <w:r w:rsidR="00953769">
        <w:rPr>
          <w:sz w:val="24"/>
          <w:szCs w:val="24"/>
        </w:rPr>
        <w:t>healthcare</w:t>
      </w:r>
      <w:r w:rsidRPr="00C52D22">
        <w:rPr>
          <w:sz w:val="24"/>
          <w:szCs w:val="24"/>
        </w:rPr>
        <w:t xml:space="preserve"> decisions and services provided to a patient.</w:t>
      </w:r>
    </w:p>
    <w:p w14:paraId="4CEE1EC0" w14:textId="141CA318" w:rsidR="00164FC0" w:rsidRPr="00C52D22" w:rsidRDefault="00164FC0" w:rsidP="00164FC0">
      <w:pPr>
        <w:pStyle w:val="ListParagraph"/>
        <w:numPr>
          <w:ilvl w:val="1"/>
          <w:numId w:val="9"/>
        </w:numPr>
        <w:spacing w:before="100" w:after="200" w:line="276" w:lineRule="auto"/>
        <w:rPr>
          <w:sz w:val="24"/>
          <w:szCs w:val="24"/>
        </w:rPr>
      </w:pPr>
      <w:r w:rsidRPr="00C52D22">
        <w:rPr>
          <w:sz w:val="24"/>
          <w:szCs w:val="24"/>
        </w:rPr>
        <w:t xml:space="preserve">It is </w:t>
      </w:r>
      <w:r w:rsidR="00EF6F5F" w:rsidRPr="00C52D22">
        <w:rPr>
          <w:sz w:val="24"/>
          <w:szCs w:val="24"/>
        </w:rPr>
        <w:t>within</w:t>
      </w:r>
      <w:r w:rsidRPr="00C52D22">
        <w:rPr>
          <w:sz w:val="24"/>
          <w:szCs w:val="24"/>
        </w:rPr>
        <w:t xml:space="preserve"> social licence for health data to be used by governments, healthcare facilities, or health system administrators to understand and improve health care and the healthcare system.</w:t>
      </w:r>
    </w:p>
    <w:p w14:paraId="661E90AD" w14:textId="1DBFFC4B" w:rsidR="00164FC0" w:rsidRPr="00C52D22" w:rsidRDefault="1EBED5FF" w:rsidP="00164FC0">
      <w:pPr>
        <w:pStyle w:val="ListParagraph"/>
        <w:numPr>
          <w:ilvl w:val="1"/>
          <w:numId w:val="9"/>
        </w:numPr>
        <w:spacing w:before="100" w:after="200" w:line="276" w:lineRule="auto"/>
        <w:rPr>
          <w:sz w:val="24"/>
          <w:szCs w:val="24"/>
        </w:rPr>
      </w:pPr>
      <w:r w:rsidRPr="00C52D22">
        <w:rPr>
          <w:sz w:val="24"/>
          <w:szCs w:val="24"/>
        </w:rPr>
        <w:t>It is within social licence for health data to be used by university-based researchers to understand the drivers of disease and wellbeing.</w:t>
      </w:r>
    </w:p>
    <w:p w14:paraId="3C26259A" w14:textId="29A992B5" w:rsidR="00212324" w:rsidRDefault="009D17F2" w:rsidP="002837C3">
      <w:pPr>
        <w:pStyle w:val="ListParagraph"/>
        <w:numPr>
          <w:ilvl w:val="0"/>
          <w:numId w:val="12"/>
        </w:numPr>
        <w:spacing w:before="100" w:after="200" w:line="276" w:lineRule="auto"/>
        <w:rPr>
          <w:sz w:val="24"/>
          <w:szCs w:val="24"/>
        </w:rPr>
      </w:pPr>
      <w:r>
        <w:rPr>
          <w:b/>
          <w:bCs/>
          <w:sz w:val="24"/>
          <w:szCs w:val="24"/>
        </w:rPr>
        <w:t>There was also agreement</w:t>
      </w:r>
      <w:r w:rsidR="004870B1" w:rsidRPr="009D17F2">
        <w:rPr>
          <w:b/>
          <w:bCs/>
          <w:sz w:val="24"/>
          <w:szCs w:val="24"/>
        </w:rPr>
        <w:t xml:space="preserve"> on two examples that </w:t>
      </w:r>
      <w:r w:rsidR="001C5048" w:rsidRPr="009D17F2">
        <w:rPr>
          <w:b/>
          <w:bCs/>
          <w:sz w:val="24"/>
          <w:szCs w:val="24"/>
        </w:rPr>
        <w:t xml:space="preserve">are </w:t>
      </w:r>
      <w:r w:rsidR="004870B1" w:rsidRPr="009D17F2">
        <w:rPr>
          <w:b/>
          <w:bCs/>
          <w:sz w:val="24"/>
          <w:szCs w:val="24"/>
        </w:rPr>
        <w:t xml:space="preserve">NOT </w:t>
      </w:r>
      <w:r w:rsidR="00DF4698">
        <w:rPr>
          <w:b/>
          <w:bCs/>
          <w:sz w:val="24"/>
          <w:szCs w:val="24"/>
        </w:rPr>
        <w:t>WITHIN</w:t>
      </w:r>
      <w:r w:rsidR="00DF4698" w:rsidRPr="009D17F2">
        <w:rPr>
          <w:b/>
          <w:bCs/>
          <w:sz w:val="24"/>
          <w:szCs w:val="24"/>
        </w:rPr>
        <w:t xml:space="preserve"> </w:t>
      </w:r>
      <w:r w:rsidR="004870B1" w:rsidRPr="009D17F2">
        <w:rPr>
          <w:b/>
          <w:bCs/>
          <w:sz w:val="24"/>
          <w:szCs w:val="24"/>
        </w:rPr>
        <w:t>social licence</w:t>
      </w:r>
      <w:r w:rsidR="00992528" w:rsidRPr="009D17F2">
        <w:rPr>
          <w:b/>
          <w:bCs/>
          <w:sz w:val="24"/>
          <w:szCs w:val="24"/>
        </w:rPr>
        <w:t>:</w:t>
      </w:r>
      <w:r w:rsidR="00992528">
        <w:rPr>
          <w:sz w:val="24"/>
          <w:szCs w:val="24"/>
        </w:rPr>
        <w:t xml:space="preserve"> </w:t>
      </w:r>
    </w:p>
    <w:p w14:paraId="78EDC051" w14:textId="74BD4589" w:rsidR="002837C3" w:rsidRPr="002837C3" w:rsidRDefault="002837C3" w:rsidP="00254326">
      <w:pPr>
        <w:pStyle w:val="ListParagraph"/>
        <w:numPr>
          <w:ilvl w:val="1"/>
          <w:numId w:val="9"/>
        </w:numPr>
        <w:spacing w:before="100" w:after="200" w:line="276" w:lineRule="auto"/>
        <w:rPr>
          <w:sz w:val="24"/>
          <w:szCs w:val="24"/>
        </w:rPr>
      </w:pPr>
      <w:r w:rsidRPr="002837C3">
        <w:rPr>
          <w:sz w:val="24"/>
          <w:szCs w:val="24"/>
        </w:rPr>
        <w:t xml:space="preserve">It is NOT WITHIN social licence for someone or some </w:t>
      </w:r>
      <w:r w:rsidRPr="00744991">
        <w:rPr>
          <w:sz w:val="24"/>
          <w:szCs w:val="24"/>
        </w:rPr>
        <w:t xml:space="preserve">organization </w:t>
      </w:r>
      <w:r w:rsidRPr="00694492">
        <w:rPr>
          <w:sz w:val="24"/>
          <w:szCs w:val="24"/>
        </w:rPr>
        <w:t>to</w:t>
      </w:r>
      <w:r w:rsidR="009D17F2" w:rsidRPr="00694492">
        <w:rPr>
          <w:sz w:val="24"/>
          <w:szCs w:val="24"/>
        </w:rPr>
        <w:t xml:space="preserve"> sell</w:t>
      </w:r>
      <w:r w:rsidRPr="00694492">
        <w:rPr>
          <w:sz w:val="24"/>
          <w:szCs w:val="24"/>
        </w:rPr>
        <w:t xml:space="preserve"> </w:t>
      </w:r>
      <w:r w:rsidR="00900968" w:rsidRPr="00694492">
        <w:rPr>
          <w:sz w:val="24"/>
          <w:szCs w:val="24"/>
        </w:rPr>
        <w:t>(or re-sell)</w:t>
      </w:r>
      <w:r w:rsidR="00900968">
        <w:rPr>
          <w:sz w:val="24"/>
          <w:szCs w:val="24"/>
        </w:rPr>
        <w:t xml:space="preserve"> </w:t>
      </w:r>
      <w:r w:rsidRPr="002837C3">
        <w:rPr>
          <w:sz w:val="24"/>
          <w:szCs w:val="24"/>
        </w:rPr>
        <w:t>someone else’s identified health data.</w:t>
      </w:r>
    </w:p>
    <w:p w14:paraId="53F7E9B2" w14:textId="77777777" w:rsidR="002837C3" w:rsidRPr="002837C3" w:rsidRDefault="002837C3" w:rsidP="00254326">
      <w:pPr>
        <w:pStyle w:val="ListParagraph"/>
        <w:numPr>
          <w:ilvl w:val="1"/>
          <w:numId w:val="9"/>
        </w:numPr>
        <w:spacing w:before="100" w:after="200" w:line="276" w:lineRule="auto"/>
        <w:rPr>
          <w:sz w:val="24"/>
          <w:szCs w:val="24"/>
        </w:rPr>
      </w:pPr>
      <w:r w:rsidRPr="002837C3">
        <w:rPr>
          <w:sz w:val="24"/>
          <w:szCs w:val="24"/>
        </w:rPr>
        <w:t>It is NOT WITHIN social licence for health data to be used for a purpose that has no patient, public, or societal benefit.</w:t>
      </w:r>
    </w:p>
    <w:p w14:paraId="011D12CC" w14:textId="22B78377" w:rsidR="0079797D" w:rsidRDefault="009D17F2" w:rsidP="009D17F2">
      <w:pPr>
        <w:pStyle w:val="ListParagraph"/>
        <w:numPr>
          <w:ilvl w:val="0"/>
          <w:numId w:val="12"/>
        </w:numPr>
        <w:spacing w:before="100" w:after="200" w:line="276" w:lineRule="auto"/>
        <w:rPr>
          <w:sz w:val="24"/>
          <w:szCs w:val="24"/>
        </w:rPr>
      </w:pPr>
      <w:r>
        <w:rPr>
          <w:b/>
          <w:bCs/>
          <w:sz w:val="24"/>
          <w:szCs w:val="24"/>
        </w:rPr>
        <w:t>Participants did</w:t>
      </w:r>
      <w:r w:rsidR="00421E29">
        <w:rPr>
          <w:b/>
          <w:bCs/>
          <w:sz w:val="24"/>
          <w:szCs w:val="24"/>
        </w:rPr>
        <w:t xml:space="preserve"> not reach </w:t>
      </w:r>
      <w:r w:rsidR="00FE5B3C" w:rsidRPr="00C52D22">
        <w:rPr>
          <w:b/>
          <w:bCs/>
          <w:sz w:val="24"/>
          <w:szCs w:val="24"/>
        </w:rPr>
        <w:t>consensus</w:t>
      </w:r>
      <w:r w:rsidR="00F030EA" w:rsidRPr="00C52D22">
        <w:rPr>
          <w:b/>
          <w:bCs/>
          <w:sz w:val="24"/>
          <w:szCs w:val="24"/>
        </w:rPr>
        <w:t xml:space="preserve"> </w:t>
      </w:r>
      <w:r w:rsidR="008B764B">
        <w:rPr>
          <w:b/>
          <w:bCs/>
          <w:sz w:val="24"/>
          <w:szCs w:val="24"/>
        </w:rPr>
        <w:t>on</w:t>
      </w:r>
      <w:r w:rsidR="00AE44F3">
        <w:rPr>
          <w:b/>
          <w:bCs/>
          <w:sz w:val="24"/>
          <w:szCs w:val="24"/>
        </w:rPr>
        <w:t xml:space="preserve"> examples within social licence that involved </w:t>
      </w:r>
      <w:r w:rsidR="00C410F8" w:rsidRPr="00C52D22">
        <w:rPr>
          <w:b/>
          <w:bCs/>
          <w:sz w:val="24"/>
          <w:szCs w:val="24"/>
        </w:rPr>
        <w:t>(</w:t>
      </w:r>
      <w:proofErr w:type="spellStart"/>
      <w:r w:rsidR="00C410F8" w:rsidRPr="00C52D22">
        <w:rPr>
          <w:b/>
          <w:bCs/>
          <w:sz w:val="24"/>
          <w:szCs w:val="24"/>
        </w:rPr>
        <w:t>i</w:t>
      </w:r>
      <w:proofErr w:type="spellEnd"/>
      <w:r w:rsidR="00C410F8" w:rsidRPr="00C52D22">
        <w:rPr>
          <w:b/>
          <w:bCs/>
          <w:sz w:val="24"/>
          <w:szCs w:val="24"/>
        </w:rPr>
        <w:t xml:space="preserve">) </w:t>
      </w:r>
      <w:r w:rsidR="00D16FF1" w:rsidRPr="00C52D22">
        <w:rPr>
          <w:b/>
          <w:bCs/>
          <w:sz w:val="24"/>
          <w:szCs w:val="24"/>
        </w:rPr>
        <w:t>companies</w:t>
      </w:r>
      <w:r w:rsidR="00316901" w:rsidRPr="00C52D22">
        <w:rPr>
          <w:b/>
          <w:bCs/>
          <w:sz w:val="24"/>
          <w:szCs w:val="24"/>
        </w:rPr>
        <w:t xml:space="preserve"> </w:t>
      </w:r>
      <w:r w:rsidR="00646733" w:rsidRPr="00C52D22">
        <w:rPr>
          <w:b/>
          <w:bCs/>
          <w:sz w:val="24"/>
          <w:szCs w:val="24"/>
        </w:rPr>
        <w:t>us</w:t>
      </w:r>
      <w:r w:rsidR="00D16FF1" w:rsidRPr="00C52D22">
        <w:rPr>
          <w:b/>
          <w:bCs/>
          <w:sz w:val="24"/>
          <w:szCs w:val="24"/>
        </w:rPr>
        <w:t>ing</w:t>
      </w:r>
      <w:r w:rsidR="00646733" w:rsidRPr="00C52D22">
        <w:rPr>
          <w:b/>
          <w:bCs/>
          <w:sz w:val="24"/>
          <w:szCs w:val="24"/>
        </w:rPr>
        <w:t xml:space="preserve"> health data</w:t>
      </w:r>
      <w:r w:rsidR="00C410F8" w:rsidRPr="00C52D22">
        <w:rPr>
          <w:b/>
          <w:bCs/>
          <w:sz w:val="24"/>
          <w:szCs w:val="24"/>
        </w:rPr>
        <w:t xml:space="preserve"> or (ii) uses of </w:t>
      </w:r>
      <w:r w:rsidR="0079036B" w:rsidRPr="00C52D22">
        <w:rPr>
          <w:b/>
          <w:bCs/>
          <w:sz w:val="24"/>
          <w:szCs w:val="24"/>
        </w:rPr>
        <w:t>data about systemically marginalized</w:t>
      </w:r>
      <w:r w:rsidR="00DF4698">
        <w:rPr>
          <w:b/>
          <w:bCs/>
          <w:sz w:val="24"/>
          <w:szCs w:val="24"/>
        </w:rPr>
        <w:t xml:space="preserve"> populations</w:t>
      </w:r>
      <w:r w:rsidR="002A1D8F" w:rsidRPr="00C52D22">
        <w:rPr>
          <w:b/>
          <w:bCs/>
          <w:sz w:val="24"/>
          <w:szCs w:val="24"/>
        </w:rPr>
        <w:t xml:space="preserve">. </w:t>
      </w:r>
      <w:r w:rsidR="004C4C69" w:rsidRPr="00C52D22">
        <w:rPr>
          <w:sz w:val="24"/>
          <w:szCs w:val="24"/>
        </w:rPr>
        <w:t>P</w:t>
      </w:r>
      <w:r w:rsidR="005F635A" w:rsidRPr="00C52D22">
        <w:rPr>
          <w:sz w:val="24"/>
          <w:szCs w:val="24"/>
        </w:rPr>
        <w:t>articipants</w:t>
      </w:r>
      <w:r w:rsidR="002A1D8F" w:rsidRPr="00C52D22">
        <w:rPr>
          <w:sz w:val="24"/>
          <w:szCs w:val="24"/>
        </w:rPr>
        <w:t xml:space="preserve"> </w:t>
      </w:r>
      <w:r w:rsidR="004C4C69" w:rsidRPr="00C52D22">
        <w:rPr>
          <w:sz w:val="24"/>
          <w:szCs w:val="24"/>
        </w:rPr>
        <w:t xml:space="preserve">discussed </w:t>
      </w:r>
      <w:r w:rsidR="004915DD" w:rsidRPr="00C52D22">
        <w:rPr>
          <w:sz w:val="24"/>
          <w:szCs w:val="24"/>
        </w:rPr>
        <w:t>potential</w:t>
      </w:r>
      <w:r w:rsidR="004C4C69" w:rsidRPr="00C52D22">
        <w:rPr>
          <w:sz w:val="24"/>
          <w:szCs w:val="24"/>
        </w:rPr>
        <w:t xml:space="preserve"> benefits </w:t>
      </w:r>
      <w:r w:rsidR="0029259B" w:rsidRPr="00C52D22">
        <w:rPr>
          <w:sz w:val="24"/>
          <w:szCs w:val="24"/>
        </w:rPr>
        <w:t xml:space="preserve">and risks for several </w:t>
      </w:r>
      <w:r w:rsidR="009325E6" w:rsidRPr="00C52D22">
        <w:rPr>
          <w:sz w:val="24"/>
          <w:szCs w:val="24"/>
        </w:rPr>
        <w:t xml:space="preserve">examples </w:t>
      </w:r>
      <w:r w:rsidR="008B764B">
        <w:rPr>
          <w:sz w:val="24"/>
          <w:szCs w:val="24"/>
        </w:rPr>
        <w:t xml:space="preserve">of each of these </w:t>
      </w:r>
      <w:r w:rsidR="009325E6" w:rsidRPr="00C52D22">
        <w:rPr>
          <w:sz w:val="24"/>
          <w:szCs w:val="24"/>
        </w:rPr>
        <w:t>but</w:t>
      </w:r>
      <w:r w:rsidR="00CB047C" w:rsidRPr="00C52D22">
        <w:rPr>
          <w:sz w:val="24"/>
          <w:szCs w:val="24"/>
        </w:rPr>
        <w:t xml:space="preserve"> </w:t>
      </w:r>
      <w:r w:rsidR="004C4C69" w:rsidRPr="00C52D22">
        <w:rPr>
          <w:sz w:val="24"/>
          <w:szCs w:val="24"/>
        </w:rPr>
        <w:t xml:space="preserve">had </w:t>
      </w:r>
      <w:r w:rsidR="005F635A" w:rsidRPr="00C52D22">
        <w:rPr>
          <w:sz w:val="24"/>
          <w:szCs w:val="24"/>
        </w:rPr>
        <w:t>different views about</w:t>
      </w:r>
      <w:r w:rsidR="000911FC" w:rsidRPr="00C52D22">
        <w:rPr>
          <w:sz w:val="24"/>
          <w:szCs w:val="24"/>
        </w:rPr>
        <w:t xml:space="preserve"> whether risks</w:t>
      </w:r>
      <w:r w:rsidR="004C4C69" w:rsidRPr="00C52D22">
        <w:rPr>
          <w:sz w:val="24"/>
          <w:szCs w:val="24"/>
        </w:rPr>
        <w:t xml:space="preserve"> could be managed</w:t>
      </w:r>
      <w:r w:rsidR="00CB047C" w:rsidRPr="00C52D22">
        <w:rPr>
          <w:sz w:val="24"/>
          <w:szCs w:val="24"/>
        </w:rPr>
        <w:t xml:space="preserve">, even if additional </w:t>
      </w:r>
      <w:r w:rsidR="009325E6" w:rsidRPr="00C52D22">
        <w:rPr>
          <w:sz w:val="24"/>
          <w:szCs w:val="24"/>
        </w:rPr>
        <w:t>requirements, safeguards, conditions</w:t>
      </w:r>
      <w:r w:rsidR="00D01454">
        <w:rPr>
          <w:sz w:val="24"/>
          <w:szCs w:val="24"/>
        </w:rPr>
        <w:t>,</w:t>
      </w:r>
      <w:r w:rsidR="009325E6" w:rsidRPr="00C52D22">
        <w:rPr>
          <w:sz w:val="24"/>
          <w:szCs w:val="24"/>
        </w:rPr>
        <w:t xml:space="preserve"> and protective measures </w:t>
      </w:r>
      <w:r w:rsidR="006B1E7B" w:rsidRPr="00C52D22">
        <w:rPr>
          <w:sz w:val="24"/>
          <w:szCs w:val="24"/>
        </w:rPr>
        <w:t xml:space="preserve">are </w:t>
      </w:r>
      <w:r w:rsidR="009325E6" w:rsidRPr="00C52D22">
        <w:rPr>
          <w:sz w:val="24"/>
          <w:szCs w:val="24"/>
        </w:rPr>
        <w:t>in place</w:t>
      </w:r>
      <w:r w:rsidR="004C1F11">
        <w:rPr>
          <w:sz w:val="24"/>
          <w:szCs w:val="24"/>
        </w:rPr>
        <w:t xml:space="preserve">. </w:t>
      </w:r>
    </w:p>
    <w:p w14:paraId="5D9B90D4" w14:textId="62ABDD35" w:rsidR="00391B46" w:rsidRDefault="00E4570C" w:rsidP="00254326">
      <w:pPr>
        <w:spacing w:before="100" w:after="200" w:line="276" w:lineRule="auto"/>
        <w:rPr>
          <w:sz w:val="24"/>
          <w:szCs w:val="24"/>
        </w:rPr>
      </w:pPr>
      <w:r w:rsidRPr="00254326">
        <w:rPr>
          <w:sz w:val="24"/>
          <w:szCs w:val="24"/>
        </w:rPr>
        <w:t xml:space="preserve">Thirteen experienced public and patient advisors served as peer reviewers for this </w:t>
      </w:r>
      <w:r w:rsidR="002E029C">
        <w:rPr>
          <w:sz w:val="24"/>
          <w:szCs w:val="24"/>
        </w:rPr>
        <w:t>report</w:t>
      </w:r>
      <w:r w:rsidRPr="00254326">
        <w:rPr>
          <w:sz w:val="24"/>
          <w:szCs w:val="24"/>
        </w:rPr>
        <w:t xml:space="preserve">. </w:t>
      </w:r>
      <w:r w:rsidR="00391B46">
        <w:rPr>
          <w:sz w:val="24"/>
          <w:szCs w:val="24"/>
        </w:rPr>
        <w:t>Overall, t</w:t>
      </w:r>
      <w:r w:rsidR="00B2588F">
        <w:rPr>
          <w:sz w:val="24"/>
          <w:szCs w:val="24"/>
        </w:rPr>
        <w:t xml:space="preserve">he peer reviewers </w:t>
      </w:r>
      <w:r w:rsidRPr="00254326">
        <w:rPr>
          <w:sz w:val="24"/>
          <w:szCs w:val="24"/>
        </w:rPr>
        <w:t xml:space="preserve">agreed with </w:t>
      </w:r>
      <w:r w:rsidR="003A7E1D">
        <w:rPr>
          <w:sz w:val="24"/>
          <w:szCs w:val="24"/>
        </w:rPr>
        <w:t xml:space="preserve">the </w:t>
      </w:r>
      <w:r w:rsidR="00957B50">
        <w:rPr>
          <w:sz w:val="24"/>
          <w:szCs w:val="24"/>
        </w:rPr>
        <w:t xml:space="preserve">participants’ </w:t>
      </w:r>
      <w:r w:rsidR="00D3063F">
        <w:rPr>
          <w:sz w:val="24"/>
          <w:szCs w:val="24"/>
        </w:rPr>
        <w:t xml:space="preserve">three uses/users WITHIN social licence and two uses/users NOT WITHIN social licence. </w:t>
      </w:r>
      <w:r w:rsidR="003A7E1D">
        <w:rPr>
          <w:sz w:val="24"/>
          <w:szCs w:val="24"/>
        </w:rPr>
        <w:t xml:space="preserve">Some peer reviewers </w:t>
      </w:r>
      <w:r w:rsidR="00D3063F">
        <w:rPr>
          <w:sz w:val="24"/>
          <w:szCs w:val="24"/>
        </w:rPr>
        <w:t>also identified</w:t>
      </w:r>
      <w:r w:rsidR="003A7E1D">
        <w:rPr>
          <w:sz w:val="24"/>
          <w:szCs w:val="24"/>
        </w:rPr>
        <w:t xml:space="preserve"> additional requirements (beyond the 85 identified by participants) that they believed need to be in place for a use/user to be within social licence.</w:t>
      </w:r>
    </w:p>
    <w:p w14:paraId="587E1D5C" w14:textId="77777777" w:rsidR="00C40723" w:rsidRDefault="00C40723">
      <w:pPr>
        <w:rPr>
          <w:rFonts w:asciiTheme="majorHAnsi" w:eastAsiaTheme="majorEastAsia" w:hAnsiTheme="majorHAnsi" w:cstheme="majorBidi"/>
          <w:color w:val="1F3763" w:themeColor="accent1" w:themeShade="7F"/>
          <w:sz w:val="28"/>
          <w:szCs w:val="24"/>
        </w:rPr>
      </w:pPr>
      <w:bookmarkStart w:id="44" w:name="_Toc108603495"/>
      <w:bookmarkStart w:id="45" w:name="_Toc108604548"/>
      <w:bookmarkStart w:id="46" w:name="_Toc108605477"/>
      <w:bookmarkStart w:id="47" w:name="_Toc104995150"/>
      <w:bookmarkStart w:id="48" w:name="_Toc105053235"/>
      <w:bookmarkStart w:id="49" w:name="_Toc105054557"/>
      <w:bookmarkStart w:id="50" w:name="_Toc113372689"/>
      <w:bookmarkStart w:id="51" w:name="_Toc113372806"/>
      <w:bookmarkStart w:id="52" w:name="_Toc113424697"/>
      <w:bookmarkStart w:id="53" w:name="_Toc113424756"/>
      <w:bookmarkStart w:id="54" w:name="_Toc113424780"/>
      <w:bookmarkStart w:id="55" w:name="_Toc113424804"/>
      <w:bookmarkStart w:id="56" w:name="_Toc113424864"/>
      <w:bookmarkStart w:id="57" w:name="_Toc113424957"/>
      <w:bookmarkStart w:id="58" w:name="_Toc113702900"/>
      <w:bookmarkStart w:id="59" w:name="_Toc113702928"/>
      <w:bookmarkStart w:id="60" w:name="_Toc113710850"/>
      <w:r>
        <w:br w:type="page"/>
      </w:r>
    </w:p>
    <w:p w14:paraId="0094573A" w14:textId="65285CD4" w:rsidR="005317B0" w:rsidRPr="00C52D22" w:rsidRDefault="0047706A" w:rsidP="005317B0">
      <w:pPr>
        <w:pStyle w:val="Heading3"/>
      </w:pPr>
      <w:bookmarkStart w:id="61" w:name="_Toc113805527"/>
      <w:bookmarkStart w:id="62" w:name="_Toc113811617"/>
      <w:r w:rsidRPr="00C52D22">
        <w:lastRenderedPageBreak/>
        <w:t>1</w:t>
      </w:r>
      <w:r w:rsidR="0053285F" w:rsidRPr="00C52D22">
        <w:t>.3</w:t>
      </w:r>
      <w:r w:rsidR="0053285F" w:rsidRPr="00C52D22">
        <w:tab/>
      </w:r>
      <w:r w:rsidR="00875CB7" w:rsidRPr="00C52D22">
        <w:t>Implications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4C676540" w14:textId="1A04914A" w:rsidR="005D26EC" w:rsidRPr="00C52D22" w:rsidRDefault="00050712" w:rsidP="00366AC0">
      <w:pPr>
        <w:spacing w:before="100" w:after="200" w:line="276" w:lineRule="auto"/>
        <w:rPr>
          <w:sz w:val="24"/>
          <w:szCs w:val="24"/>
        </w:rPr>
      </w:pPr>
      <w:r w:rsidRPr="00C52D22">
        <w:rPr>
          <w:sz w:val="24"/>
          <w:szCs w:val="24"/>
        </w:rPr>
        <w:t>P</w:t>
      </w:r>
      <w:r w:rsidR="009E3D9F" w:rsidRPr="00C52D22">
        <w:rPr>
          <w:sz w:val="24"/>
          <w:szCs w:val="24"/>
        </w:rPr>
        <w:t xml:space="preserve">articipants were not asked to </w:t>
      </w:r>
      <w:r w:rsidR="005D26EC" w:rsidRPr="00C52D22">
        <w:rPr>
          <w:sz w:val="24"/>
          <w:szCs w:val="24"/>
        </w:rPr>
        <w:t xml:space="preserve">discuss </w:t>
      </w:r>
      <w:r w:rsidR="00476466" w:rsidRPr="00C52D22">
        <w:rPr>
          <w:sz w:val="24"/>
          <w:szCs w:val="24"/>
        </w:rPr>
        <w:t xml:space="preserve">the implications of this </w:t>
      </w:r>
      <w:r w:rsidR="002E029C">
        <w:rPr>
          <w:sz w:val="24"/>
          <w:szCs w:val="24"/>
        </w:rPr>
        <w:t>report</w:t>
      </w:r>
      <w:r w:rsidR="00854BAE" w:rsidRPr="00C52D22">
        <w:rPr>
          <w:sz w:val="24"/>
          <w:szCs w:val="24"/>
        </w:rPr>
        <w:t xml:space="preserve"> </w:t>
      </w:r>
      <w:r w:rsidR="00476466" w:rsidRPr="00C52D22">
        <w:rPr>
          <w:sz w:val="24"/>
          <w:szCs w:val="24"/>
        </w:rPr>
        <w:t xml:space="preserve">or come to consensus on how it </w:t>
      </w:r>
      <w:r w:rsidR="00854BAE" w:rsidRPr="00C52D22">
        <w:rPr>
          <w:sz w:val="24"/>
          <w:szCs w:val="24"/>
        </w:rPr>
        <w:t>c</w:t>
      </w:r>
      <w:r w:rsidR="005D26EC" w:rsidRPr="00C52D22">
        <w:rPr>
          <w:sz w:val="24"/>
          <w:szCs w:val="24"/>
        </w:rPr>
        <w:t>ould</w:t>
      </w:r>
      <w:r w:rsidR="00854BAE" w:rsidRPr="00C52D22">
        <w:rPr>
          <w:sz w:val="24"/>
          <w:szCs w:val="24"/>
        </w:rPr>
        <w:t xml:space="preserve"> be used</w:t>
      </w:r>
      <w:r w:rsidR="00875CB7" w:rsidRPr="00C52D22">
        <w:rPr>
          <w:sz w:val="24"/>
          <w:szCs w:val="24"/>
        </w:rPr>
        <w:t xml:space="preserve">. From the perspective of HDRN Canada and GRIIS, the participants’ contributions may offer a new way of thinking about how and where to </w:t>
      </w:r>
      <w:r w:rsidR="00F5559D" w:rsidRPr="00C52D22">
        <w:rPr>
          <w:sz w:val="24"/>
          <w:szCs w:val="24"/>
        </w:rPr>
        <w:t xml:space="preserve">focus future </w:t>
      </w:r>
      <w:r w:rsidR="00854BAE" w:rsidRPr="00C52D22">
        <w:rPr>
          <w:sz w:val="24"/>
          <w:szCs w:val="24"/>
        </w:rPr>
        <w:t xml:space="preserve">initiatives </w:t>
      </w:r>
      <w:r w:rsidRPr="00C52D22">
        <w:rPr>
          <w:sz w:val="24"/>
          <w:szCs w:val="24"/>
        </w:rPr>
        <w:t>re</w:t>
      </w:r>
      <w:r w:rsidR="009970E5">
        <w:rPr>
          <w:sz w:val="24"/>
          <w:szCs w:val="24"/>
        </w:rPr>
        <w:t xml:space="preserve">lated to </w:t>
      </w:r>
      <w:r w:rsidR="00854BAE" w:rsidRPr="00C52D22">
        <w:rPr>
          <w:sz w:val="24"/>
          <w:szCs w:val="24"/>
        </w:rPr>
        <w:t xml:space="preserve">expanding </w:t>
      </w:r>
      <w:r w:rsidR="00DF4698">
        <w:rPr>
          <w:sz w:val="24"/>
          <w:szCs w:val="24"/>
        </w:rPr>
        <w:t>uses and users</w:t>
      </w:r>
      <w:r w:rsidR="005D26EC" w:rsidRPr="00C52D22">
        <w:rPr>
          <w:sz w:val="24"/>
          <w:szCs w:val="24"/>
        </w:rPr>
        <w:t xml:space="preserve"> of health data. </w:t>
      </w:r>
      <w:r w:rsidR="00D5227D" w:rsidRPr="00C52D22">
        <w:rPr>
          <w:sz w:val="24"/>
          <w:szCs w:val="24"/>
        </w:rPr>
        <w:t>Instead of</w:t>
      </w:r>
      <w:r w:rsidR="0052407A" w:rsidRPr="00C52D22">
        <w:rPr>
          <w:sz w:val="24"/>
          <w:szCs w:val="24"/>
        </w:rPr>
        <w:t xml:space="preserve"> making </w:t>
      </w:r>
      <w:r w:rsidR="00C87F84" w:rsidRPr="00C52D22">
        <w:rPr>
          <w:sz w:val="24"/>
          <w:szCs w:val="24"/>
        </w:rPr>
        <w:t>broad</w:t>
      </w:r>
      <w:r w:rsidR="00103FE0" w:rsidRPr="00C52D22">
        <w:rPr>
          <w:sz w:val="24"/>
          <w:szCs w:val="24"/>
        </w:rPr>
        <w:t xml:space="preserve"> </w:t>
      </w:r>
      <w:r w:rsidR="00C87F84" w:rsidRPr="00C52D22">
        <w:rPr>
          <w:sz w:val="24"/>
          <w:szCs w:val="24"/>
        </w:rPr>
        <w:t xml:space="preserve">changes to </w:t>
      </w:r>
      <w:r w:rsidR="008B764B">
        <w:rPr>
          <w:sz w:val="24"/>
          <w:szCs w:val="24"/>
        </w:rPr>
        <w:t xml:space="preserve">health data access </w:t>
      </w:r>
      <w:r w:rsidR="00103FE0" w:rsidRPr="00C52D22">
        <w:rPr>
          <w:sz w:val="24"/>
          <w:szCs w:val="24"/>
        </w:rPr>
        <w:t>policies</w:t>
      </w:r>
      <w:r w:rsidR="0052407A" w:rsidRPr="00C52D22">
        <w:rPr>
          <w:sz w:val="24"/>
          <w:szCs w:val="24"/>
        </w:rPr>
        <w:t>,</w:t>
      </w:r>
      <w:r w:rsidR="00BE79E6" w:rsidRPr="00C52D22">
        <w:rPr>
          <w:sz w:val="24"/>
          <w:szCs w:val="24"/>
        </w:rPr>
        <w:t xml:space="preserve"> </w:t>
      </w:r>
      <w:r w:rsidR="00E6589F" w:rsidRPr="00C52D22">
        <w:rPr>
          <w:sz w:val="24"/>
          <w:szCs w:val="24"/>
        </w:rPr>
        <w:t xml:space="preserve">this </w:t>
      </w:r>
      <w:r w:rsidR="002E029C">
        <w:rPr>
          <w:sz w:val="24"/>
          <w:szCs w:val="24"/>
        </w:rPr>
        <w:t>report</w:t>
      </w:r>
      <w:r w:rsidR="00E6589F" w:rsidRPr="00C52D22">
        <w:rPr>
          <w:sz w:val="24"/>
          <w:szCs w:val="24"/>
        </w:rPr>
        <w:t xml:space="preserve"> suggests</w:t>
      </w:r>
      <w:r w:rsidR="00CD14B8" w:rsidRPr="00C52D22">
        <w:rPr>
          <w:sz w:val="24"/>
          <w:szCs w:val="24"/>
        </w:rPr>
        <w:t xml:space="preserve"> </w:t>
      </w:r>
      <w:r w:rsidR="00250AD0" w:rsidRPr="00C52D22">
        <w:rPr>
          <w:sz w:val="24"/>
          <w:szCs w:val="24"/>
        </w:rPr>
        <w:t>t</w:t>
      </w:r>
      <w:r w:rsidR="00E6589F" w:rsidRPr="00C52D22">
        <w:rPr>
          <w:sz w:val="24"/>
          <w:szCs w:val="24"/>
        </w:rPr>
        <w:t>hat</w:t>
      </w:r>
      <w:r w:rsidR="00ED1A0D" w:rsidRPr="00C52D22">
        <w:rPr>
          <w:sz w:val="24"/>
          <w:szCs w:val="24"/>
        </w:rPr>
        <w:t xml:space="preserve"> </w:t>
      </w:r>
      <w:r w:rsidR="00103FE0" w:rsidRPr="00C52D22">
        <w:rPr>
          <w:sz w:val="24"/>
          <w:szCs w:val="24"/>
        </w:rPr>
        <w:t>there are subset</w:t>
      </w:r>
      <w:r w:rsidR="00784C0D">
        <w:rPr>
          <w:sz w:val="24"/>
          <w:szCs w:val="24"/>
        </w:rPr>
        <w:t>s</w:t>
      </w:r>
      <w:r w:rsidR="00103FE0" w:rsidRPr="00C52D22">
        <w:rPr>
          <w:sz w:val="24"/>
          <w:szCs w:val="24"/>
        </w:rPr>
        <w:t xml:space="preserve"> of </w:t>
      </w:r>
      <w:r w:rsidR="00250AD0" w:rsidRPr="00C52D22">
        <w:rPr>
          <w:sz w:val="24"/>
          <w:szCs w:val="24"/>
        </w:rPr>
        <w:t xml:space="preserve">publicly-acceptable </w:t>
      </w:r>
      <w:r w:rsidR="00E6589F" w:rsidRPr="00C52D22">
        <w:rPr>
          <w:sz w:val="24"/>
          <w:szCs w:val="24"/>
        </w:rPr>
        <w:t xml:space="preserve">uses and users </w:t>
      </w:r>
      <w:r w:rsidR="00ED1A0D" w:rsidRPr="00C52D22">
        <w:rPr>
          <w:sz w:val="24"/>
          <w:szCs w:val="24"/>
        </w:rPr>
        <w:t>of health data</w:t>
      </w:r>
      <w:r w:rsidR="00103FE0" w:rsidRPr="00C52D22">
        <w:rPr>
          <w:sz w:val="24"/>
          <w:szCs w:val="24"/>
        </w:rPr>
        <w:t xml:space="preserve"> that would be a better starting point</w:t>
      </w:r>
      <w:r w:rsidR="00250AD0" w:rsidRPr="00C52D22">
        <w:rPr>
          <w:sz w:val="24"/>
          <w:szCs w:val="24"/>
        </w:rPr>
        <w:t xml:space="preserve">. </w:t>
      </w:r>
    </w:p>
    <w:p w14:paraId="75C8F8C8" w14:textId="62CFADE6" w:rsidR="00D266FE" w:rsidRPr="00C52D22" w:rsidRDefault="00DF4698" w:rsidP="0023336E">
      <w:pPr>
        <w:spacing w:before="100" w:after="200" w:line="276" w:lineRule="auto"/>
        <w:rPr>
          <w:sz w:val="24"/>
          <w:szCs w:val="24"/>
        </w:rPr>
      </w:pPr>
      <w:r>
        <w:rPr>
          <w:sz w:val="24"/>
          <w:szCs w:val="24"/>
        </w:rPr>
        <w:t>As with</w:t>
      </w:r>
      <w:r w:rsidRPr="00C52D22">
        <w:rPr>
          <w:sz w:val="24"/>
          <w:szCs w:val="24"/>
        </w:rPr>
        <w:t xml:space="preserve"> </w:t>
      </w:r>
      <w:r w:rsidR="00AF5616" w:rsidRPr="00C52D22">
        <w:rPr>
          <w:sz w:val="24"/>
          <w:szCs w:val="24"/>
        </w:rPr>
        <w:t xml:space="preserve">many </w:t>
      </w:r>
      <w:r w:rsidR="0023336E" w:rsidRPr="00C52D22">
        <w:rPr>
          <w:sz w:val="24"/>
          <w:szCs w:val="24"/>
        </w:rPr>
        <w:t xml:space="preserve">preceding </w:t>
      </w:r>
      <w:r w:rsidR="00AF5616" w:rsidRPr="00C52D22">
        <w:rPr>
          <w:sz w:val="24"/>
          <w:szCs w:val="24"/>
        </w:rPr>
        <w:t xml:space="preserve">projects, </w:t>
      </w:r>
      <w:r w:rsidR="005676D3" w:rsidRPr="00C52D22">
        <w:rPr>
          <w:sz w:val="24"/>
          <w:szCs w:val="24"/>
        </w:rPr>
        <w:t>we used a</w:t>
      </w:r>
      <w:r w:rsidR="0023336E" w:rsidRPr="00C52D22">
        <w:rPr>
          <w:sz w:val="24"/>
          <w:szCs w:val="24"/>
        </w:rPr>
        <w:t xml:space="preserve"> process</w:t>
      </w:r>
      <w:r w:rsidR="00250AD0" w:rsidRPr="00C52D22">
        <w:rPr>
          <w:sz w:val="24"/>
          <w:szCs w:val="24"/>
        </w:rPr>
        <w:t xml:space="preserve"> that</w:t>
      </w:r>
      <w:r w:rsidR="0023336E" w:rsidRPr="00C52D22">
        <w:rPr>
          <w:sz w:val="24"/>
          <w:szCs w:val="24"/>
        </w:rPr>
        <w:t xml:space="preserve"> was </w:t>
      </w:r>
      <w:r w:rsidR="00AF5616" w:rsidRPr="00C52D22">
        <w:rPr>
          <w:sz w:val="24"/>
          <w:szCs w:val="24"/>
        </w:rPr>
        <w:t xml:space="preserve">designed to explore </w:t>
      </w:r>
      <w:r w:rsidR="00166220" w:rsidRPr="00C52D22">
        <w:rPr>
          <w:sz w:val="24"/>
          <w:szCs w:val="24"/>
        </w:rPr>
        <w:t>the boundaries of social licence</w:t>
      </w:r>
      <w:r w:rsidR="00855492" w:rsidRPr="00C52D22">
        <w:rPr>
          <w:sz w:val="24"/>
          <w:szCs w:val="24"/>
        </w:rPr>
        <w:t xml:space="preserve"> through dialogue about </w:t>
      </w:r>
      <w:r w:rsidR="00AF5616" w:rsidRPr="00C52D22">
        <w:rPr>
          <w:sz w:val="24"/>
          <w:szCs w:val="24"/>
        </w:rPr>
        <w:t xml:space="preserve">data uses and users. </w:t>
      </w:r>
      <w:r w:rsidR="00A23A58" w:rsidRPr="00C52D22">
        <w:rPr>
          <w:sz w:val="24"/>
          <w:szCs w:val="24"/>
        </w:rPr>
        <w:t>From the</w:t>
      </w:r>
      <w:r w:rsidR="008B7AEE" w:rsidRPr="00C52D22">
        <w:rPr>
          <w:sz w:val="24"/>
          <w:szCs w:val="24"/>
        </w:rPr>
        <w:t xml:space="preserve"> project</w:t>
      </w:r>
      <w:r w:rsidR="00A23A58" w:rsidRPr="00C52D22">
        <w:rPr>
          <w:sz w:val="24"/>
          <w:szCs w:val="24"/>
        </w:rPr>
        <w:t xml:space="preserve"> p</w:t>
      </w:r>
      <w:r w:rsidR="00AF5616" w:rsidRPr="00C52D22">
        <w:rPr>
          <w:sz w:val="24"/>
          <w:szCs w:val="24"/>
        </w:rPr>
        <w:t>articipants</w:t>
      </w:r>
      <w:r w:rsidR="008B7AEE" w:rsidRPr="00C52D22">
        <w:rPr>
          <w:sz w:val="24"/>
          <w:szCs w:val="24"/>
        </w:rPr>
        <w:t>,</w:t>
      </w:r>
      <w:r w:rsidR="00AF5616" w:rsidRPr="00C52D22">
        <w:rPr>
          <w:sz w:val="24"/>
          <w:szCs w:val="24"/>
        </w:rPr>
        <w:t xml:space="preserve"> </w:t>
      </w:r>
      <w:r w:rsidR="00A23A58" w:rsidRPr="00C52D22">
        <w:rPr>
          <w:sz w:val="24"/>
          <w:szCs w:val="24"/>
        </w:rPr>
        <w:t xml:space="preserve">we learned that </w:t>
      </w:r>
      <w:r w:rsidR="00AF5616" w:rsidRPr="00C52D22">
        <w:rPr>
          <w:sz w:val="24"/>
          <w:szCs w:val="24"/>
        </w:rPr>
        <w:t>the boundary</w:t>
      </w:r>
      <w:r w:rsidR="00FF0B6F" w:rsidRPr="00C52D22">
        <w:rPr>
          <w:sz w:val="24"/>
          <w:szCs w:val="24"/>
        </w:rPr>
        <w:t xml:space="preserve"> for health data social licence</w:t>
      </w:r>
      <w:r w:rsidR="00AF5616" w:rsidRPr="00C52D22">
        <w:rPr>
          <w:sz w:val="24"/>
          <w:szCs w:val="24"/>
        </w:rPr>
        <w:t xml:space="preserve"> is jagged</w:t>
      </w:r>
      <w:r>
        <w:rPr>
          <w:sz w:val="24"/>
          <w:szCs w:val="24"/>
        </w:rPr>
        <w:t>,</w:t>
      </w:r>
      <w:r w:rsidR="007A5241" w:rsidRPr="00C52D22">
        <w:rPr>
          <w:sz w:val="24"/>
          <w:szCs w:val="24"/>
        </w:rPr>
        <w:t xml:space="preserve"> and </w:t>
      </w:r>
      <w:r w:rsidR="00024DCC" w:rsidRPr="00C52D22">
        <w:rPr>
          <w:sz w:val="24"/>
          <w:szCs w:val="24"/>
        </w:rPr>
        <w:t>varie</w:t>
      </w:r>
      <w:r w:rsidR="00DD79A5" w:rsidRPr="00C52D22">
        <w:rPr>
          <w:sz w:val="24"/>
          <w:szCs w:val="24"/>
        </w:rPr>
        <w:t>s</w:t>
      </w:r>
      <w:r w:rsidR="00024DCC" w:rsidRPr="00C52D22">
        <w:rPr>
          <w:sz w:val="24"/>
          <w:szCs w:val="24"/>
        </w:rPr>
        <w:t xml:space="preserve"> </w:t>
      </w:r>
      <w:r w:rsidR="007A5241" w:rsidRPr="00C52D22">
        <w:rPr>
          <w:sz w:val="24"/>
          <w:szCs w:val="24"/>
        </w:rPr>
        <w:t xml:space="preserve">depending </w:t>
      </w:r>
      <w:r w:rsidR="00CC40A8">
        <w:rPr>
          <w:sz w:val="24"/>
          <w:szCs w:val="24"/>
        </w:rPr>
        <w:t xml:space="preserve">on </w:t>
      </w:r>
      <w:r w:rsidR="00024DCC" w:rsidRPr="00C52D22">
        <w:rPr>
          <w:sz w:val="24"/>
          <w:szCs w:val="24"/>
        </w:rPr>
        <w:t>individual perspectives</w:t>
      </w:r>
      <w:r w:rsidR="00FF0B6F" w:rsidRPr="00C52D22">
        <w:rPr>
          <w:sz w:val="24"/>
          <w:szCs w:val="24"/>
        </w:rPr>
        <w:t>.</w:t>
      </w:r>
      <w:r w:rsidR="008B7AEE" w:rsidRPr="00C52D22">
        <w:rPr>
          <w:sz w:val="24"/>
          <w:szCs w:val="24"/>
        </w:rPr>
        <w:t xml:space="preserve"> This means that </w:t>
      </w:r>
      <w:r w:rsidR="00103FE0" w:rsidRPr="00C52D22">
        <w:rPr>
          <w:sz w:val="24"/>
          <w:szCs w:val="24"/>
        </w:rPr>
        <w:t xml:space="preserve">elements of </w:t>
      </w:r>
      <w:r w:rsidR="00813A2C" w:rsidRPr="00C52D22">
        <w:rPr>
          <w:sz w:val="24"/>
          <w:szCs w:val="24"/>
        </w:rPr>
        <w:t xml:space="preserve">expansive </w:t>
      </w:r>
      <w:r w:rsidR="00A23A58" w:rsidRPr="00C52D22">
        <w:rPr>
          <w:sz w:val="24"/>
          <w:szCs w:val="24"/>
        </w:rPr>
        <w:t xml:space="preserve">plans to increase access to health data uses and users </w:t>
      </w:r>
      <w:r w:rsidR="00D266FE" w:rsidRPr="00C52D22">
        <w:rPr>
          <w:sz w:val="24"/>
          <w:szCs w:val="24"/>
        </w:rPr>
        <w:t xml:space="preserve">are likely to be opposed by some </w:t>
      </w:r>
      <w:r w:rsidR="00813A2C" w:rsidRPr="00C52D22">
        <w:rPr>
          <w:sz w:val="24"/>
          <w:szCs w:val="24"/>
        </w:rPr>
        <w:t>groups</w:t>
      </w:r>
      <w:r w:rsidR="00D266FE" w:rsidRPr="00C52D22">
        <w:rPr>
          <w:sz w:val="24"/>
          <w:szCs w:val="24"/>
        </w:rPr>
        <w:t>, no matter what requirements and conditions are put in place.</w:t>
      </w:r>
    </w:p>
    <w:p w14:paraId="572E7653" w14:textId="2F898CC4" w:rsidR="00EA7192" w:rsidRDefault="00D266FE" w:rsidP="003C63BC">
      <w:pPr>
        <w:spacing w:before="100" w:after="200" w:line="276" w:lineRule="auto"/>
        <w:rPr>
          <w:rFonts w:asciiTheme="majorHAnsi" w:eastAsiaTheme="majorEastAsia" w:hAnsiTheme="majorHAnsi" w:cstheme="majorBidi"/>
          <w:color w:val="2F5496" w:themeColor="accent1" w:themeShade="BF"/>
          <w:sz w:val="32"/>
          <w:szCs w:val="26"/>
        </w:rPr>
      </w:pPr>
      <w:r w:rsidRPr="00C52D22">
        <w:rPr>
          <w:sz w:val="24"/>
          <w:szCs w:val="24"/>
        </w:rPr>
        <w:t xml:space="preserve">On the other hand, participants also provided information about what we might think of as the centre of social licence – i.e., </w:t>
      </w:r>
      <w:r w:rsidR="008E0F8E">
        <w:rPr>
          <w:sz w:val="24"/>
          <w:szCs w:val="24"/>
        </w:rPr>
        <w:t xml:space="preserve">health data </w:t>
      </w:r>
      <w:r w:rsidRPr="00C52D22">
        <w:rPr>
          <w:sz w:val="24"/>
          <w:szCs w:val="24"/>
        </w:rPr>
        <w:t xml:space="preserve">uses and users that </w:t>
      </w:r>
      <w:r w:rsidR="008B7AEE" w:rsidRPr="00C52D22">
        <w:rPr>
          <w:sz w:val="24"/>
          <w:szCs w:val="24"/>
        </w:rPr>
        <w:t xml:space="preserve">are likely to </w:t>
      </w:r>
      <w:r w:rsidRPr="00C52D22">
        <w:rPr>
          <w:sz w:val="24"/>
          <w:szCs w:val="24"/>
        </w:rPr>
        <w:t xml:space="preserve">be publicly supported. </w:t>
      </w:r>
      <w:r w:rsidR="00D5227D" w:rsidRPr="00C52D22">
        <w:rPr>
          <w:sz w:val="24"/>
          <w:szCs w:val="24"/>
        </w:rPr>
        <w:t>We note that there are many public benefits that could be realized just by focusing on the</w:t>
      </w:r>
      <w:r w:rsidR="000E46B1" w:rsidRPr="00C52D22">
        <w:rPr>
          <w:sz w:val="24"/>
          <w:szCs w:val="24"/>
        </w:rPr>
        <w:t xml:space="preserve"> </w:t>
      </w:r>
      <w:r w:rsidR="00D5227D" w:rsidRPr="00C52D22">
        <w:rPr>
          <w:sz w:val="24"/>
          <w:szCs w:val="24"/>
        </w:rPr>
        <w:t xml:space="preserve">three </w:t>
      </w:r>
      <w:r w:rsidR="000E46B1" w:rsidRPr="00C52D22">
        <w:rPr>
          <w:sz w:val="24"/>
          <w:szCs w:val="24"/>
        </w:rPr>
        <w:t xml:space="preserve">examples </w:t>
      </w:r>
      <w:r w:rsidR="003927A5" w:rsidRPr="00C52D22">
        <w:rPr>
          <w:sz w:val="24"/>
          <w:szCs w:val="24"/>
        </w:rPr>
        <w:t xml:space="preserve">of uses/users </w:t>
      </w:r>
      <w:r w:rsidR="008E0F8E">
        <w:rPr>
          <w:sz w:val="24"/>
          <w:szCs w:val="24"/>
        </w:rPr>
        <w:t xml:space="preserve">that </w:t>
      </w:r>
      <w:r w:rsidR="008B764B">
        <w:rPr>
          <w:sz w:val="24"/>
          <w:szCs w:val="24"/>
        </w:rPr>
        <w:t xml:space="preserve">participants perceived to be </w:t>
      </w:r>
      <w:r w:rsidR="008E0F8E">
        <w:rPr>
          <w:sz w:val="24"/>
          <w:szCs w:val="24"/>
        </w:rPr>
        <w:t xml:space="preserve">within </w:t>
      </w:r>
      <w:r w:rsidR="000E46B1" w:rsidRPr="00C52D22">
        <w:rPr>
          <w:sz w:val="24"/>
          <w:szCs w:val="24"/>
        </w:rPr>
        <w:t>social licence</w:t>
      </w:r>
      <w:r w:rsidR="008A0F99" w:rsidRPr="00C52D22">
        <w:rPr>
          <w:sz w:val="24"/>
          <w:szCs w:val="24"/>
        </w:rPr>
        <w:t xml:space="preserve"> </w:t>
      </w:r>
      <w:r w:rsidR="00A21060" w:rsidRPr="00C52D22">
        <w:rPr>
          <w:sz w:val="24"/>
          <w:szCs w:val="24"/>
        </w:rPr>
        <w:t>including</w:t>
      </w:r>
      <w:r w:rsidR="000E46B1" w:rsidRPr="00C52D22">
        <w:rPr>
          <w:sz w:val="24"/>
          <w:szCs w:val="24"/>
        </w:rPr>
        <w:t>:</w:t>
      </w:r>
      <w:r w:rsidR="00A21060" w:rsidRPr="00C52D22">
        <w:rPr>
          <w:sz w:val="24"/>
          <w:szCs w:val="24"/>
        </w:rPr>
        <w:t xml:space="preserve"> better patient care, better health system planning, and better understanding of disease and wellness. </w:t>
      </w:r>
      <w:r w:rsidR="006223E1" w:rsidRPr="00C52D22">
        <w:rPr>
          <w:sz w:val="24"/>
          <w:szCs w:val="24"/>
        </w:rPr>
        <w:t xml:space="preserve">We </w:t>
      </w:r>
      <w:r w:rsidR="008A0F99" w:rsidRPr="00C52D22">
        <w:rPr>
          <w:sz w:val="24"/>
          <w:szCs w:val="24"/>
        </w:rPr>
        <w:t>suggest that</w:t>
      </w:r>
      <w:r w:rsidR="006223E1" w:rsidRPr="00C52D22">
        <w:rPr>
          <w:sz w:val="24"/>
          <w:szCs w:val="24"/>
        </w:rPr>
        <w:t xml:space="preserve"> these and other benefits c</w:t>
      </w:r>
      <w:r w:rsidR="008A0F99" w:rsidRPr="00C52D22">
        <w:rPr>
          <w:sz w:val="24"/>
          <w:szCs w:val="24"/>
        </w:rPr>
        <w:t>ould</w:t>
      </w:r>
      <w:r w:rsidR="006223E1" w:rsidRPr="00C52D22">
        <w:rPr>
          <w:sz w:val="24"/>
          <w:szCs w:val="24"/>
        </w:rPr>
        <w:t xml:space="preserve"> be realized if there is a concerted and continuous effort to identify and act on</w:t>
      </w:r>
      <w:r w:rsidR="003807F5" w:rsidRPr="00C52D22">
        <w:rPr>
          <w:sz w:val="24"/>
          <w:szCs w:val="24"/>
        </w:rPr>
        <w:t xml:space="preserve"> </w:t>
      </w:r>
      <w:r w:rsidR="008B764B">
        <w:rPr>
          <w:sz w:val="24"/>
          <w:szCs w:val="24"/>
        </w:rPr>
        <w:t xml:space="preserve">increasing the </w:t>
      </w:r>
      <w:r w:rsidR="006223E1" w:rsidRPr="00C52D22">
        <w:rPr>
          <w:sz w:val="24"/>
          <w:szCs w:val="24"/>
        </w:rPr>
        <w:t>health data uses and users that members of the public support</w:t>
      </w:r>
      <w:bookmarkStart w:id="63" w:name="_Toc104995151"/>
      <w:bookmarkStart w:id="64" w:name="_Toc105053236"/>
      <w:bookmarkStart w:id="65" w:name="_Toc105054558"/>
      <w:bookmarkStart w:id="66" w:name="_Toc108603496"/>
      <w:bookmarkStart w:id="67" w:name="_Toc108604549"/>
      <w:bookmarkStart w:id="68" w:name="_Toc108605478"/>
      <w:bookmarkStart w:id="69" w:name="_Toc113372690"/>
      <w:bookmarkStart w:id="70" w:name="_Toc113372807"/>
      <w:bookmarkStart w:id="71" w:name="_Toc113424698"/>
      <w:bookmarkStart w:id="72" w:name="_Toc113424757"/>
      <w:bookmarkStart w:id="73" w:name="_Toc113424781"/>
      <w:bookmarkStart w:id="74" w:name="_Toc113424805"/>
      <w:bookmarkStart w:id="75" w:name="_Toc113424865"/>
      <w:bookmarkStart w:id="76" w:name="_Toc113424958"/>
      <w:bookmarkStart w:id="77" w:name="_Toc113702901"/>
      <w:bookmarkStart w:id="78" w:name="_Toc113702929"/>
      <w:bookmarkStart w:id="79" w:name="_Toc113710851"/>
      <w:r w:rsidR="003C63BC">
        <w:rPr>
          <w:sz w:val="24"/>
          <w:szCs w:val="24"/>
        </w:rPr>
        <w:t>.</w:t>
      </w:r>
    </w:p>
    <w:p w14:paraId="31BA3FA0" w14:textId="29D20ADE" w:rsidR="00D30F7D" w:rsidRPr="00C52D22" w:rsidRDefault="00D725F9" w:rsidP="00747977">
      <w:pPr>
        <w:pStyle w:val="Heading2"/>
        <w:keepNext w:val="0"/>
        <w:keepLines w:val="0"/>
        <w:widowControl w:val="0"/>
      </w:pPr>
      <w:bookmarkStart w:id="80" w:name="_Toc113805528"/>
      <w:bookmarkStart w:id="81" w:name="_Toc113811618"/>
      <w:r w:rsidRPr="00C52D22">
        <w:t>2</w:t>
      </w:r>
      <w:r w:rsidR="0053285F" w:rsidRPr="00C52D22">
        <w:t>.0</w:t>
      </w:r>
      <w:r w:rsidR="0053285F" w:rsidRPr="00C52D22">
        <w:tab/>
      </w:r>
      <w:r w:rsidR="00132D60" w:rsidRPr="00C52D22">
        <w:t xml:space="preserve">About </w:t>
      </w:r>
      <w:r w:rsidR="00BD2954" w:rsidRPr="00C52D22">
        <w:t>h</w:t>
      </w:r>
      <w:r w:rsidR="00132D60" w:rsidRPr="00C52D22">
        <w:t xml:space="preserve">ealth </w:t>
      </w:r>
      <w:r w:rsidR="00BD2954" w:rsidRPr="00C52D22">
        <w:t>d</w:t>
      </w:r>
      <w:r w:rsidR="00132D60" w:rsidRPr="00C52D22">
        <w:t xml:space="preserve">ata and </w:t>
      </w:r>
      <w:r w:rsidR="00BD2954" w:rsidRPr="00C52D22">
        <w:t>s</w:t>
      </w:r>
      <w:r w:rsidR="00132D60" w:rsidRPr="00C52D22">
        <w:t xml:space="preserve">ocial </w:t>
      </w:r>
      <w:r w:rsidR="00BD2954" w:rsidRPr="00C52D22">
        <w:t>l</w:t>
      </w:r>
      <w:r w:rsidR="00132D60" w:rsidRPr="00C52D22">
        <w:t>icence</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FB40D13" w14:textId="02776EA2" w:rsidR="005C090A" w:rsidRPr="00C52D22" w:rsidRDefault="00D725F9" w:rsidP="00D30F7D">
      <w:pPr>
        <w:pStyle w:val="Heading3"/>
      </w:pPr>
      <w:bookmarkStart w:id="82" w:name="_Toc104995152"/>
      <w:bookmarkStart w:id="83" w:name="_Toc105053237"/>
      <w:bookmarkStart w:id="84" w:name="_Toc105054559"/>
      <w:bookmarkStart w:id="85" w:name="_Toc108603497"/>
      <w:bookmarkStart w:id="86" w:name="_Toc108604550"/>
      <w:bookmarkStart w:id="87" w:name="_Toc108605479"/>
      <w:bookmarkStart w:id="88" w:name="_Toc113372691"/>
      <w:bookmarkStart w:id="89" w:name="_Toc113372808"/>
      <w:bookmarkStart w:id="90" w:name="_Toc113424699"/>
      <w:bookmarkStart w:id="91" w:name="_Toc113424758"/>
      <w:bookmarkStart w:id="92" w:name="_Toc113424782"/>
      <w:bookmarkStart w:id="93" w:name="_Toc113424806"/>
      <w:bookmarkStart w:id="94" w:name="_Toc113424866"/>
      <w:bookmarkStart w:id="95" w:name="_Toc113424959"/>
      <w:bookmarkStart w:id="96" w:name="_Toc113702902"/>
      <w:bookmarkStart w:id="97" w:name="_Toc113702930"/>
      <w:bookmarkStart w:id="98" w:name="_Toc113710852"/>
      <w:bookmarkStart w:id="99" w:name="_Toc113805529"/>
      <w:bookmarkStart w:id="100" w:name="_Toc113811619"/>
      <w:r w:rsidRPr="00C52D22">
        <w:t>2</w:t>
      </w:r>
      <w:r w:rsidR="0053285F" w:rsidRPr="00C52D22">
        <w:t>.1</w:t>
      </w:r>
      <w:r w:rsidR="0053285F" w:rsidRPr="00C52D22">
        <w:tab/>
      </w:r>
      <w:r w:rsidR="005C090A" w:rsidRPr="00C52D22">
        <w:t xml:space="preserve">What </w:t>
      </w:r>
      <w:r w:rsidR="00696218" w:rsidRPr="00C52D22">
        <w:t>are</w:t>
      </w:r>
      <w:r w:rsidR="005C090A" w:rsidRPr="00C52D22">
        <w:t xml:space="preserve"> health data?</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A218FA7" w14:textId="33DF7319" w:rsidR="00987FDA" w:rsidRPr="00C52D22" w:rsidRDefault="00987FDA" w:rsidP="00D75248">
      <w:pPr>
        <w:spacing w:after="0" w:line="276" w:lineRule="auto"/>
        <w:rPr>
          <w:sz w:val="24"/>
          <w:szCs w:val="24"/>
        </w:rPr>
      </w:pPr>
      <w:r w:rsidRPr="00C52D22">
        <w:rPr>
          <w:sz w:val="24"/>
          <w:szCs w:val="24"/>
        </w:rPr>
        <w:t>There are many</w:t>
      </w:r>
      <w:r w:rsidR="008A3858" w:rsidRPr="00C52D22">
        <w:rPr>
          <w:sz w:val="24"/>
          <w:szCs w:val="24"/>
        </w:rPr>
        <w:t xml:space="preserve"> different views on what </w:t>
      </w:r>
      <w:r w:rsidRPr="00C52D22">
        <w:rPr>
          <w:sz w:val="24"/>
          <w:szCs w:val="24"/>
        </w:rPr>
        <w:t>counts as</w:t>
      </w:r>
      <w:r w:rsidR="008A3858" w:rsidRPr="00C52D22">
        <w:rPr>
          <w:sz w:val="24"/>
          <w:szCs w:val="24"/>
        </w:rPr>
        <w:t xml:space="preserve"> health data</w:t>
      </w:r>
      <w:r w:rsidRPr="00C52D22">
        <w:rPr>
          <w:sz w:val="24"/>
          <w:szCs w:val="24"/>
        </w:rPr>
        <w:t>.</w:t>
      </w:r>
      <w:r w:rsidR="008A3858" w:rsidRPr="00C52D22">
        <w:rPr>
          <w:sz w:val="24"/>
          <w:szCs w:val="24"/>
        </w:rPr>
        <w:t xml:space="preserve"> </w:t>
      </w:r>
      <w:r w:rsidRPr="00C52D22">
        <w:rPr>
          <w:sz w:val="24"/>
          <w:szCs w:val="24"/>
        </w:rPr>
        <w:t>For this</w:t>
      </w:r>
      <w:r w:rsidR="008A3858" w:rsidRPr="00C52D22">
        <w:rPr>
          <w:sz w:val="24"/>
          <w:szCs w:val="24"/>
        </w:rPr>
        <w:t xml:space="preserve"> project, </w:t>
      </w:r>
      <w:r w:rsidRPr="00C52D22">
        <w:rPr>
          <w:sz w:val="24"/>
          <w:szCs w:val="24"/>
        </w:rPr>
        <w:t xml:space="preserve">we </w:t>
      </w:r>
      <w:r w:rsidR="006208A4">
        <w:rPr>
          <w:sz w:val="24"/>
          <w:szCs w:val="24"/>
        </w:rPr>
        <w:t xml:space="preserve">used </w:t>
      </w:r>
      <w:r w:rsidRPr="00C52D22">
        <w:rPr>
          <w:sz w:val="24"/>
          <w:szCs w:val="24"/>
        </w:rPr>
        <w:t>a b</w:t>
      </w:r>
      <w:r w:rsidR="008A3858" w:rsidRPr="00C52D22">
        <w:rPr>
          <w:sz w:val="24"/>
          <w:szCs w:val="24"/>
        </w:rPr>
        <w:t>road definition</w:t>
      </w:r>
      <w:r w:rsidR="003C7C27" w:rsidRPr="00C52D22">
        <w:rPr>
          <w:sz w:val="24"/>
          <w:szCs w:val="24"/>
        </w:rPr>
        <w:t xml:space="preserve"> (see </w:t>
      </w:r>
      <w:r w:rsidR="009D7FFB" w:rsidRPr="00C52D22">
        <w:rPr>
          <w:sz w:val="24"/>
          <w:szCs w:val="24"/>
        </w:rPr>
        <w:t xml:space="preserve">the panel on </w:t>
      </w:r>
      <w:r w:rsidR="00747977">
        <w:rPr>
          <w:sz w:val="24"/>
          <w:szCs w:val="24"/>
        </w:rPr>
        <w:t>the next</w:t>
      </w:r>
      <w:r w:rsidR="00C40723">
        <w:rPr>
          <w:sz w:val="24"/>
          <w:szCs w:val="24"/>
        </w:rPr>
        <w:t xml:space="preserve"> page</w:t>
      </w:r>
      <w:r w:rsidR="003C7C27" w:rsidRPr="00C52D22">
        <w:rPr>
          <w:sz w:val="24"/>
          <w:szCs w:val="24"/>
        </w:rPr>
        <w:t>)</w:t>
      </w:r>
      <w:r w:rsidR="009D7FFB" w:rsidRPr="00C52D22">
        <w:rPr>
          <w:sz w:val="24"/>
          <w:szCs w:val="24"/>
        </w:rPr>
        <w:t xml:space="preserve">. </w:t>
      </w:r>
      <w:r w:rsidRPr="00C52D22">
        <w:rPr>
          <w:sz w:val="24"/>
          <w:szCs w:val="24"/>
        </w:rPr>
        <w:t xml:space="preserve">This definition </w:t>
      </w:r>
      <w:r w:rsidR="008A3858" w:rsidRPr="00C52D22">
        <w:rPr>
          <w:sz w:val="24"/>
          <w:szCs w:val="24"/>
        </w:rPr>
        <w:t xml:space="preserve">is centred on data related to </w:t>
      </w:r>
      <w:r w:rsidRPr="00C52D22">
        <w:rPr>
          <w:sz w:val="24"/>
          <w:szCs w:val="24"/>
        </w:rPr>
        <w:t xml:space="preserve">two things: </w:t>
      </w:r>
    </w:p>
    <w:p w14:paraId="3E767500" w14:textId="28F3CCF8" w:rsidR="00987FDA" w:rsidRPr="00C52D22" w:rsidRDefault="008A3858" w:rsidP="00D75248">
      <w:pPr>
        <w:pStyle w:val="ListParagraph"/>
        <w:numPr>
          <w:ilvl w:val="0"/>
          <w:numId w:val="3"/>
        </w:numPr>
        <w:spacing w:after="0" w:line="276" w:lineRule="auto"/>
        <w:rPr>
          <w:sz w:val="24"/>
          <w:szCs w:val="24"/>
        </w:rPr>
      </w:pPr>
      <w:r w:rsidRPr="00C52D22">
        <w:rPr>
          <w:sz w:val="24"/>
          <w:szCs w:val="24"/>
        </w:rPr>
        <w:t>the health status of individuals</w:t>
      </w:r>
    </w:p>
    <w:p w14:paraId="29AEE7AC" w14:textId="709F929B" w:rsidR="00987FDA" w:rsidRPr="00C52D22" w:rsidRDefault="008A3858" w:rsidP="00D75248">
      <w:pPr>
        <w:pStyle w:val="ListParagraph"/>
        <w:numPr>
          <w:ilvl w:val="0"/>
          <w:numId w:val="3"/>
        </w:numPr>
        <w:spacing w:after="0" w:line="276" w:lineRule="auto"/>
        <w:rPr>
          <w:sz w:val="24"/>
          <w:szCs w:val="24"/>
        </w:rPr>
      </w:pPr>
      <w:r w:rsidRPr="00C52D22">
        <w:rPr>
          <w:sz w:val="24"/>
          <w:szCs w:val="24"/>
        </w:rPr>
        <w:t>the health services that individuals receive</w:t>
      </w:r>
    </w:p>
    <w:p w14:paraId="2670A597" w14:textId="77777777" w:rsidR="004F6E8A" w:rsidRDefault="004F6E8A" w:rsidP="00D75248">
      <w:pPr>
        <w:spacing w:after="0" w:line="276" w:lineRule="auto"/>
        <w:rPr>
          <w:sz w:val="24"/>
          <w:szCs w:val="24"/>
        </w:rPr>
      </w:pPr>
    </w:p>
    <w:p w14:paraId="23F4F939" w14:textId="70E1EDE7" w:rsidR="00917D0E" w:rsidRPr="00C52D22" w:rsidRDefault="0000044C" w:rsidP="00D75248">
      <w:pPr>
        <w:spacing w:after="0" w:line="276" w:lineRule="auto"/>
        <w:rPr>
          <w:sz w:val="24"/>
          <w:szCs w:val="24"/>
        </w:rPr>
      </w:pPr>
      <w:r w:rsidRPr="00C52D22">
        <w:rPr>
          <w:sz w:val="24"/>
          <w:szCs w:val="24"/>
        </w:rPr>
        <w:t xml:space="preserve">Our definition of </w:t>
      </w:r>
      <w:r w:rsidR="008A3858" w:rsidRPr="00C52D22">
        <w:rPr>
          <w:sz w:val="24"/>
          <w:szCs w:val="24"/>
        </w:rPr>
        <w:t xml:space="preserve">health data </w:t>
      </w:r>
      <w:r w:rsidRPr="00C52D22">
        <w:rPr>
          <w:sz w:val="24"/>
          <w:szCs w:val="24"/>
        </w:rPr>
        <w:t xml:space="preserve">also </w:t>
      </w:r>
      <w:r w:rsidR="008A3858" w:rsidRPr="00C52D22">
        <w:rPr>
          <w:sz w:val="24"/>
          <w:szCs w:val="24"/>
        </w:rPr>
        <w:t>includ</w:t>
      </w:r>
      <w:r w:rsidR="009D7FFB" w:rsidRPr="00C52D22">
        <w:rPr>
          <w:sz w:val="24"/>
          <w:szCs w:val="24"/>
        </w:rPr>
        <w:t>es</w:t>
      </w:r>
      <w:r w:rsidR="008A3858" w:rsidRPr="00C52D22">
        <w:rPr>
          <w:sz w:val="24"/>
          <w:szCs w:val="24"/>
        </w:rPr>
        <w:t xml:space="preserve"> data related to geography, education, and other social determinants of health.</w:t>
      </w:r>
    </w:p>
    <w:p w14:paraId="4997DEB4" w14:textId="40ECC01D" w:rsidR="00747977" w:rsidRDefault="00747977">
      <w:pPr>
        <w:rPr>
          <w:rFonts w:asciiTheme="majorHAnsi" w:eastAsiaTheme="majorEastAsia" w:hAnsiTheme="majorHAnsi" w:cstheme="majorBidi"/>
          <w:color w:val="1F3763" w:themeColor="accent1" w:themeShade="7F"/>
          <w:sz w:val="28"/>
          <w:szCs w:val="24"/>
        </w:rPr>
      </w:pPr>
      <w:bookmarkStart w:id="101" w:name="_Toc104995153"/>
      <w:bookmarkStart w:id="102" w:name="_Toc105053238"/>
      <w:bookmarkStart w:id="103" w:name="_Toc105054560"/>
      <w:bookmarkStart w:id="104" w:name="_Toc108603498"/>
      <w:bookmarkStart w:id="105" w:name="_Toc108604551"/>
      <w:bookmarkStart w:id="106" w:name="_Toc108605480"/>
      <w:bookmarkStart w:id="107" w:name="_Toc113372692"/>
      <w:bookmarkStart w:id="108" w:name="_Toc113372809"/>
      <w:bookmarkStart w:id="109" w:name="_Toc113424700"/>
      <w:bookmarkStart w:id="110" w:name="_Toc113424759"/>
      <w:bookmarkStart w:id="111" w:name="_Toc113424783"/>
      <w:bookmarkStart w:id="112" w:name="_Toc113424807"/>
      <w:bookmarkStart w:id="113" w:name="_Toc113424867"/>
      <w:bookmarkStart w:id="114" w:name="_Toc113424960"/>
      <w:bookmarkStart w:id="115" w:name="_Toc113702903"/>
      <w:bookmarkStart w:id="116" w:name="_Toc113702931"/>
      <w:bookmarkStart w:id="117" w:name="_Toc113710853"/>
      <w:bookmarkStart w:id="118" w:name="_Toc113805530"/>
      <w:r>
        <w:br w:type="page"/>
      </w:r>
    </w:p>
    <w:p w14:paraId="13C0B9AE" w14:textId="59920015" w:rsidR="002107E1" w:rsidRPr="00C52D22" w:rsidRDefault="00B2492E" w:rsidP="00D30F7D">
      <w:pPr>
        <w:pStyle w:val="Heading3"/>
      </w:pPr>
      <w:bookmarkStart w:id="119" w:name="_Toc113811620"/>
      <w:r>
        <w:rPr>
          <w:noProof/>
          <w:lang w:val="en-US"/>
        </w:rPr>
        <w:lastRenderedPageBreak/>
        <w:drawing>
          <wp:anchor distT="0" distB="0" distL="114300" distR="114300" simplePos="0" relativeHeight="251674112" behindDoc="0" locked="0" layoutInCell="1" allowOverlap="1" wp14:anchorId="511A1BF1" wp14:editId="4DEB80BD">
            <wp:simplePos x="0" y="0"/>
            <wp:positionH relativeFrom="column">
              <wp:posOffset>3200400</wp:posOffset>
            </wp:positionH>
            <wp:positionV relativeFrom="paragraph">
              <wp:posOffset>30480</wp:posOffset>
            </wp:positionV>
            <wp:extent cx="3482642" cy="6652837"/>
            <wp:effectExtent l="0" t="0" r="3810" b="0"/>
            <wp:wrapSquare wrapText="bothSides"/>
            <wp:docPr id="9" name="Picture 9" descr="Health data are facts and statistics that provide insights about the health, development, and well-being of populations. &#10;Health data often include individual-level information about: &#10;- Healthcare services (e.g., visits to healthcare providers or health facilities)&#10;Prescription drugs (e.g., drugs for chronic conditions like diabetes, drugs provided for &#10;healthcare emergencies in hospitals)&#10;- Health status (e.g., weight, blood pressure, laboratory test results, information about chronic conditions)&#10;- Health behaviours (e.g., diet, exercise, smoking, alcohol consumption)&#10;- Demographic data and social determinants of health data about people or groups that receive health services (e.g., age range, gender, the highest level of education, the first three digits of the postal code where someone lives or receives healthcare services)&#10;- Genetic data which provide unique information about a person’s genetic makeup (e.g., whole genome sequencing or genetic test results for hereditary diseases)&#10;" title="Definition of healt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482642" cy="6652837"/>
                    </a:xfrm>
                    <a:prstGeom prst="rect">
                      <a:avLst/>
                    </a:prstGeom>
                  </pic:spPr>
                </pic:pic>
              </a:graphicData>
            </a:graphic>
            <wp14:sizeRelH relativeFrom="page">
              <wp14:pctWidth>0</wp14:pctWidth>
            </wp14:sizeRelH>
            <wp14:sizeRelV relativeFrom="page">
              <wp14:pctHeight>0</wp14:pctHeight>
            </wp14:sizeRelV>
          </wp:anchor>
        </w:drawing>
      </w:r>
      <w:r w:rsidR="5C62D6C4" w:rsidRPr="00C52D22">
        <w:t>2.2</w:t>
      </w:r>
      <w:r w:rsidR="00D725F9" w:rsidRPr="00C52D22">
        <w:tab/>
      </w:r>
      <w:r w:rsidR="5C62D6C4" w:rsidRPr="00C52D22">
        <w:t>How are health data used?</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E14AEE1" w14:textId="7EBAD819" w:rsidR="00ED1417" w:rsidRDefault="002107E1" w:rsidP="00D75248">
      <w:pPr>
        <w:spacing w:after="0" w:line="276" w:lineRule="auto"/>
        <w:rPr>
          <w:sz w:val="24"/>
          <w:szCs w:val="24"/>
        </w:rPr>
      </w:pPr>
      <w:r w:rsidRPr="00C52D22">
        <w:rPr>
          <w:sz w:val="24"/>
          <w:szCs w:val="24"/>
        </w:rPr>
        <w:t xml:space="preserve">Health data </w:t>
      </w:r>
      <w:r w:rsidR="007B5F01" w:rsidRPr="00C52D22">
        <w:rPr>
          <w:sz w:val="24"/>
          <w:szCs w:val="24"/>
        </w:rPr>
        <w:t>are</w:t>
      </w:r>
      <w:r w:rsidRPr="00C52D22">
        <w:rPr>
          <w:sz w:val="24"/>
          <w:szCs w:val="24"/>
        </w:rPr>
        <w:t xml:space="preserve"> already being </w:t>
      </w:r>
      <w:r w:rsidR="00250A92" w:rsidRPr="00C52D22">
        <w:rPr>
          <w:sz w:val="24"/>
          <w:szCs w:val="24"/>
        </w:rPr>
        <w:t xml:space="preserve">used </w:t>
      </w:r>
      <w:r w:rsidRPr="00C52D22">
        <w:rPr>
          <w:sz w:val="24"/>
          <w:szCs w:val="24"/>
        </w:rPr>
        <w:t xml:space="preserve">by people </w:t>
      </w:r>
      <w:r w:rsidR="00250A92" w:rsidRPr="00C52D22">
        <w:rPr>
          <w:sz w:val="24"/>
          <w:szCs w:val="24"/>
        </w:rPr>
        <w:t xml:space="preserve">and organizations </w:t>
      </w:r>
      <w:r w:rsidR="00DF4698">
        <w:rPr>
          <w:sz w:val="24"/>
          <w:szCs w:val="24"/>
        </w:rPr>
        <w:t>working</w:t>
      </w:r>
      <w:r w:rsidRPr="00C52D22">
        <w:rPr>
          <w:sz w:val="24"/>
          <w:szCs w:val="24"/>
        </w:rPr>
        <w:t xml:space="preserve"> directly in health </w:t>
      </w:r>
      <w:r w:rsidR="00250A92" w:rsidRPr="00C52D22">
        <w:rPr>
          <w:sz w:val="24"/>
          <w:szCs w:val="24"/>
        </w:rPr>
        <w:t>services and healthcare delivery</w:t>
      </w:r>
      <w:r w:rsidRPr="00C52D22">
        <w:rPr>
          <w:sz w:val="24"/>
          <w:szCs w:val="24"/>
        </w:rPr>
        <w:t xml:space="preserve">. </w:t>
      </w:r>
      <w:r w:rsidR="00250A92" w:rsidRPr="00C52D22">
        <w:rPr>
          <w:sz w:val="24"/>
          <w:szCs w:val="24"/>
        </w:rPr>
        <w:t xml:space="preserve">For </w:t>
      </w:r>
      <w:r w:rsidR="00D109B6" w:rsidRPr="00C52D22">
        <w:rPr>
          <w:sz w:val="24"/>
          <w:szCs w:val="24"/>
        </w:rPr>
        <w:t>example,</w:t>
      </w:r>
      <w:r w:rsidR="00ED1417">
        <w:rPr>
          <w:sz w:val="24"/>
          <w:szCs w:val="24"/>
        </w:rPr>
        <w:t xml:space="preserve"> health data are used by:</w:t>
      </w:r>
    </w:p>
    <w:p w14:paraId="5331243D" w14:textId="2F37B449" w:rsidR="00ED1417" w:rsidRDefault="00ED1417" w:rsidP="00CC40A8">
      <w:pPr>
        <w:pStyle w:val="ListParagraph"/>
        <w:numPr>
          <w:ilvl w:val="0"/>
          <w:numId w:val="27"/>
        </w:numPr>
        <w:spacing w:after="0" w:line="276" w:lineRule="auto"/>
        <w:rPr>
          <w:sz w:val="24"/>
          <w:szCs w:val="24"/>
        </w:rPr>
      </w:pPr>
      <w:r>
        <w:rPr>
          <w:sz w:val="24"/>
          <w:szCs w:val="24"/>
        </w:rPr>
        <w:t xml:space="preserve">patients to </w:t>
      </w:r>
      <w:r w:rsidR="006208A4">
        <w:rPr>
          <w:sz w:val="24"/>
          <w:szCs w:val="24"/>
        </w:rPr>
        <w:t>understand</w:t>
      </w:r>
      <w:r>
        <w:rPr>
          <w:sz w:val="24"/>
          <w:szCs w:val="24"/>
        </w:rPr>
        <w:t xml:space="preserve"> their treatment options</w:t>
      </w:r>
    </w:p>
    <w:p w14:paraId="18CD9A23" w14:textId="61013197" w:rsidR="00ED1417" w:rsidRDefault="00953769" w:rsidP="00CC40A8">
      <w:pPr>
        <w:pStyle w:val="ListParagraph"/>
        <w:numPr>
          <w:ilvl w:val="0"/>
          <w:numId w:val="27"/>
        </w:numPr>
        <w:spacing w:after="0" w:line="276" w:lineRule="auto"/>
        <w:rPr>
          <w:sz w:val="24"/>
          <w:szCs w:val="24"/>
        </w:rPr>
      </w:pPr>
      <w:r>
        <w:rPr>
          <w:sz w:val="24"/>
          <w:szCs w:val="24"/>
        </w:rPr>
        <w:t>healthcare</w:t>
      </w:r>
      <w:r w:rsidR="00ED1417">
        <w:rPr>
          <w:sz w:val="24"/>
          <w:szCs w:val="24"/>
        </w:rPr>
        <w:t xml:space="preserve"> providers </w:t>
      </w:r>
      <w:r w:rsidR="00CC40A8">
        <w:rPr>
          <w:sz w:val="24"/>
          <w:szCs w:val="24"/>
        </w:rPr>
        <w:t>and academic researchers to improve their understanding of a specific medical condition</w:t>
      </w:r>
    </w:p>
    <w:p w14:paraId="5B17333C" w14:textId="051F914D" w:rsidR="00ED1417" w:rsidRDefault="00ED1417" w:rsidP="00CC40A8">
      <w:pPr>
        <w:pStyle w:val="ListParagraph"/>
        <w:numPr>
          <w:ilvl w:val="0"/>
          <w:numId w:val="27"/>
        </w:numPr>
        <w:spacing w:after="0" w:line="276" w:lineRule="auto"/>
        <w:rPr>
          <w:sz w:val="24"/>
          <w:szCs w:val="24"/>
        </w:rPr>
      </w:pPr>
      <w:r>
        <w:rPr>
          <w:sz w:val="24"/>
          <w:szCs w:val="24"/>
        </w:rPr>
        <w:t>public and private payers to inform decisio</w:t>
      </w:r>
      <w:r w:rsidR="008E0F8E">
        <w:rPr>
          <w:sz w:val="24"/>
          <w:szCs w:val="24"/>
        </w:rPr>
        <w:t xml:space="preserve">ns about </w:t>
      </w:r>
      <w:r>
        <w:rPr>
          <w:sz w:val="24"/>
          <w:szCs w:val="24"/>
        </w:rPr>
        <w:t>access and reimbursement of health services</w:t>
      </w:r>
    </w:p>
    <w:p w14:paraId="636EFE4A" w14:textId="6EC50E97" w:rsidR="00ED1417" w:rsidRDefault="00ED1417" w:rsidP="00CC40A8">
      <w:pPr>
        <w:pStyle w:val="ListParagraph"/>
        <w:numPr>
          <w:ilvl w:val="0"/>
          <w:numId w:val="27"/>
        </w:numPr>
        <w:spacing w:after="0" w:line="276" w:lineRule="auto"/>
        <w:rPr>
          <w:sz w:val="24"/>
          <w:szCs w:val="24"/>
        </w:rPr>
      </w:pPr>
      <w:r>
        <w:rPr>
          <w:sz w:val="24"/>
          <w:szCs w:val="24"/>
        </w:rPr>
        <w:t xml:space="preserve">policy makers to inform health policy </w:t>
      </w:r>
    </w:p>
    <w:p w14:paraId="4C2A876E" w14:textId="5A4773F9" w:rsidR="000A63D9" w:rsidRPr="003C63BC" w:rsidRDefault="00CC40A8" w:rsidP="003C63BC">
      <w:pPr>
        <w:pStyle w:val="ListParagraph"/>
        <w:numPr>
          <w:ilvl w:val="0"/>
          <w:numId w:val="27"/>
        </w:numPr>
        <w:spacing w:after="0" w:line="276" w:lineRule="auto"/>
        <w:rPr>
          <w:sz w:val="24"/>
          <w:szCs w:val="24"/>
        </w:rPr>
      </w:pPr>
      <w:r>
        <w:rPr>
          <w:sz w:val="24"/>
          <w:szCs w:val="24"/>
        </w:rPr>
        <w:t>health technology companies to inform research and development</w:t>
      </w:r>
    </w:p>
    <w:p w14:paraId="303DC866" w14:textId="77777777" w:rsidR="00911838" w:rsidRDefault="00911838" w:rsidP="00D75248">
      <w:pPr>
        <w:spacing w:after="0" w:line="276" w:lineRule="auto"/>
        <w:rPr>
          <w:sz w:val="24"/>
          <w:szCs w:val="24"/>
        </w:rPr>
      </w:pPr>
    </w:p>
    <w:p w14:paraId="6EB23EE6" w14:textId="767A94CC" w:rsidR="00E50D7B" w:rsidRPr="00C52D22" w:rsidRDefault="00891B32" w:rsidP="00D75248">
      <w:pPr>
        <w:spacing w:after="0" w:line="276" w:lineRule="auto"/>
        <w:rPr>
          <w:sz w:val="24"/>
          <w:szCs w:val="24"/>
        </w:rPr>
      </w:pPr>
      <w:r w:rsidRPr="00CC40A8">
        <w:rPr>
          <w:sz w:val="24"/>
          <w:szCs w:val="24"/>
        </w:rPr>
        <w:t>M</w:t>
      </w:r>
      <w:r w:rsidR="002107E1" w:rsidRPr="00CC40A8">
        <w:rPr>
          <w:sz w:val="24"/>
          <w:szCs w:val="24"/>
        </w:rPr>
        <w:t xml:space="preserve">ultiple </w:t>
      </w:r>
      <w:r w:rsidR="002E029C">
        <w:rPr>
          <w:sz w:val="24"/>
          <w:szCs w:val="24"/>
        </w:rPr>
        <w:t>report</w:t>
      </w:r>
      <w:r w:rsidR="002107E1" w:rsidRPr="00CC40A8">
        <w:rPr>
          <w:sz w:val="24"/>
          <w:szCs w:val="24"/>
        </w:rPr>
        <w:t xml:space="preserve">s and studies </w:t>
      </w:r>
      <w:r w:rsidR="003C7C27" w:rsidRPr="00CC40A8">
        <w:rPr>
          <w:sz w:val="24"/>
          <w:szCs w:val="24"/>
        </w:rPr>
        <w:t xml:space="preserve">describe public benefits that could be achieved if we increase </w:t>
      </w:r>
      <w:r w:rsidR="002107E1" w:rsidRPr="00CC40A8">
        <w:rPr>
          <w:sz w:val="24"/>
          <w:szCs w:val="24"/>
        </w:rPr>
        <w:t>health data use, sharing, and re-use</w:t>
      </w:r>
      <w:r w:rsidRPr="00CC40A8">
        <w:rPr>
          <w:sz w:val="24"/>
          <w:szCs w:val="24"/>
        </w:rPr>
        <w:t>, and emphasize several points:</w:t>
      </w:r>
    </w:p>
    <w:p w14:paraId="5691EEE8" w14:textId="6A2A685A" w:rsidR="00E50D7B" w:rsidRPr="00C52D22" w:rsidRDefault="001E448B" w:rsidP="00D75248">
      <w:pPr>
        <w:pStyle w:val="ListParagraph"/>
        <w:numPr>
          <w:ilvl w:val="0"/>
          <w:numId w:val="4"/>
        </w:numPr>
        <w:spacing w:after="0" w:line="276" w:lineRule="auto"/>
        <w:rPr>
          <w:sz w:val="24"/>
          <w:szCs w:val="24"/>
        </w:rPr>
      </w:pPr>
      <w:r w:rsidRPr="00C52D22">
        <w:rPr>
          <w:sz w:val="24"/>
          <w:szCs w:val="24"/>
        </w:rPr>
        <w:t xml:space="preserve">the </w:t>
      </w:r>
      <w:r w:rsidR="002107E1" w:rsidRPr="00C52D22">
        <w:rPr>
          <w:sz w:val="24"/>
          <w:szCs w:val="24"/>
        </w:rPr>
        <w:t>importance of privacy and data security</w:t>
      </w:r>
    </w:p>
    <w:p w14:paraId="6CC3215D" w14:textId="77F24498" w:rsidR="00E50D7B" w:rsidRPr="00C52D22" w:rsidRDefault="002107E1" w:rsidP="00D75248">
      <w:pPr>
        <w:pStyle w:val="ListParagraph"/>
        <w:numPr>
          <w:ilvl w:val="0"/>
          <w:numId w:val="4"/>
        </w:numPr>
        <w:spacing w:after="0" w:line="276" w:lineRule="auto"/>
        <w:rPr>
          <w:sz w:val="24"/>
          <w:szCs w:val="24"/>
        </w:rPr>
      </w:pPr>
      <w:r w:rsidRPr="00C52D22">
        <w:rPr>
          <w:sz w:val="24"/>
          <w:szCs w:val="24"/>
        </w:rPr>
        <w:t>implications for people and society when health data are underutilized</w:t>
      </w:r>
    </w:p>
    <w:p w14:paraId="0250BF47" w14:textId="0F50C13A" w:rsidR="00E50D7B" w:rsidRPr="00C52D22" w:rsidRDefault="001E448B" w:rsidP="00D75248">
      <w:pPr>
        <w:pStyle w:val="ListParagraph"/>
        <w:numPr>
          <w:ilvl w:val="0"/>
          <w:numId w:val="4"/>
        </w:numPr>
        <w:spacing w:after="0" w:line="276" w:lineRule="auto"/>
        <w:rPr>
          <w:sz w:val="24"/>
          <w:szCs w:val="24"/>
        </w:rPr>
      </w:pPr>
      <w:r w:rsidRPr="00C52D22">
        <w:rPr>
          <w:sz w:val="24"/>
          <w:szCs w:val="24"/>
        </w:rPr>
        <w:t xml:space="preserve">the </w:t>
      </w:r>
      <w:r w:rsidR="002107E1" w:rsidRPr="00C52D22">
        <w:rPr>
          <w:sz w:val="24"/>
          <w:szCs w:val="24"/>
        </w:rPr>
        <w:t xml:space="preserve">importance of including patients and members of the public in decisions about </w:t>
      </w:r>
      <w:r w:rsidR="00860226" w:rsidRPr="00C52D22">
        <w:rPr>
          <w:sz w:val="24"/>
          <w:szCs w:val="24"/>
        </w:rPr>
        <w:t xml:space="preserve">who has access to </w:t>
      </w:r>
      <w:r w:rsidR="002107E1" w:rsidRPr="00C52D22">
        <w:rPr>
          <w:sz w:val="24"/>
          <w:szCs w:val="24"/>
        </w:rPr>
        <w:t>health data</w:t>
      </w:r>
      <w:r w:rsidR="009D7FFB" w:rsidRPr="00C52D22">
        <w:rPr>
          <w:sz w:val="24"/>
          <w:szCs w:val="24"/>
        </w:rPr>
        <w:t>, and</w:t>
      </w:r>
    </w:p>
    <w:p w14:paraId="2DCE7DDB" w14:textId="0FE70A4A" w:rsidR="00891B32" w:rsidRPr="00DD7790" w:rsidRDefault="00E50D7B" w:rsidP="009D17F2">
      <w:pPr>
        <w:pStyle w:val="ListParagraph"/>
        <w:numPr>
          <w:ilvl w:val="0"/>
          <w:numId w:val="4"/>
        </w:numPr>
        <w:spacing w:after="0" w:line="276" w:lineRule="auto"/>
        <w:rPr>
          <w:sz w:val="24"/>
          <w:szCs w:val="24"/>
        </w:rPr>
      </w:pPr>
      <w:r w:rsidRPr="00DD7790">
        <w:rPr>
          <w:sz w:val="24"/>
          <w:szCs w:val="24"/>
        </w:rPr>
        <w:t xml:space="preserve">the </w:t>
      </w:r>
      <w:r w:rsidR="002107E1" w:rsidRPr="00DD7790">
        <w:rPr>
          <w:sz w:val="24"/>
          <w:szCs w:val="24"/>
        </w:rPr>
        <w:t>need to increase equity in health data collection and use.</w:t>
      </w:r>
    </w:p>
    <w:p w14:paraId="19FCF9A7" w14:textId="77777777" w:rsidR="00B2492E" w:rsidRDefault="00B2492E" w:rsidP="000A63D9">
      <w:pPr>
        <w:pStyle w:val="Heading3"/>
        <w:keepNext w:val="0"/>
        <w:keepLines w:val="0"/>
        <w:widowControl w:val="0"/>
      </w:pPr>
      <w:bookmarkStart w:id="120" w:name="_Toc113702904"/>
      <w:bookmarkStart w:id="121" w:name="_Toc113702932"/>
      <w:bookmarkStart w:id="122" w:name="_Toc113710854"/>
      <w:bookmarkStart w:id="123" w:name="_Toc113805531"/>
      <w:bookmarkStart w:id="124" w:name="_Toc113811621"/>
      <w:bookmarkStart w:id="125" w:name="_Toc104995154"/>
      <w:bookmarkStart w:id="126" w:name="_Toc105053239"/>
      <w:bookmarkStart w:id="127" w:name="_Toc105054561"/>
      <w:bookmarkStart w:id="128" w:name="_Toc108603499"/>
      <w:bookmarkStart w:id="129" w:name="_Toc108604552"/>
      <w:bookmarkStart w:id="130" w:name="_Toc108605481"/>
      <w:bookmarkStart w:id="131" w:name="_Toc113372693"/>
      <w:bookmarkStart w:id="132" w:name="_Toc113372810"/>
      <w:bookmarkStart w:id="133" w:name="_Toc113424701"/>
      <w:bookmarkStart w:id="134" w:name="_Toc113424760"/>
      <w:bookmarkStart w:id="135" w:name="_Toc113424784"/>
      <w:bookmarkStart w:id="136" w:name="_Toc113424808"/>
      <w:bookmarkStart w:id="137" w:name="_Toc113424868"/>
      <w:bookmarkStart w:id="138" w:name="_Toc113424961"/>
      <w:r>
        <w:br/>
      </w:r>
    </w:p>
    <w:p w14:paraId="08079FE1" w14:textId="77777777" w:rsidR="00B2492E" w:rsidRDefault="00B2492E">
      <w:pPr>
        <w:rPr>
          <w:rFonts w:asciiTheme="majorHAnsi" w:eastAsiaTheme="majorEastAsia" w:hAnsiTheme="majorHAnsi" w:cstheme="majorBidi"/>
          <w:color w:val="1F3763" w:themeColor="accent1" w:themeShade="7F"/>
          <w:sz w:val="28"/>
          <w:szCs w:val="24"/>
        </w:rPr>
      </w:pPr>
      <w:r>
        <w:br w:type="page"/>
      </w:r>
    </w:p>
    <w:p w14:paraId="70628BC2" w14:textId="1169C016" w:rsidR="005C090A" w:rsidRPr="00C52D22" w:rsidRDefault="00B2492E" w:rsidP="000A63D9">
      <w:pPr>
        <w:pStyle w:val="Heading3"/>
        <w:keepNext w:val="0"/>
        <w:keepLines w:val="0"/>
        <w:widowControl w:val="0"/>
      </w:pPr>
      <w:r>
        <w:rPr>
          <w:noProof/>
          <w:lang w:val="en-US"/>
        </w:rPr>
        <w:lastRenderedPageBreak/>
        <w:drawing>
          <wp:anchor distT="0" distB="0" distL="114300" distR="114300" simplePos="0" relativeHeight="251665408" behindDoc="0" locked="0" layoutInCell="1" allowOverlap="1" wp14:anchorId="01C78B9B" wp14:editId="24616F97">
            <wp:simplePos x="0" y="0"/>
            <wp:positionH relativeFrom="column">
              <wp:posOffset>2987040</wp:posOffset>
            </wp:positionH>
            <wp:positionV relativeFrom="paragraph">
              <wp:posOffset>22860</wp:posOffset>
            </wp:positionV>
            <wp:extent cx="3672205" cy="4080510"/>
            <wp:effectExtent l="0" t="0" r="4445" b="0"/>
            <wp:wrapSquare wrapText="bothSides"/>
            <wp:docPr id="10" name="Picture 10" descr="Unlike a driver’s licence or fishing licence, a social licence does not define allowed or prohibited activities in writing and is NOT a literal contract between parties. Instead, it reflects ongoing approval from a group of individuals, community or other stakeholders regarding the activities undertaken by an organization that affect them.&#10;&#10;The boundaries of what is within or outside of social licence can shift over time, and different individuals may have different views about what is within or outside of social licence. For this reason, organizations that hold a social licence must continuously work with stakeholders that may be affected by their activities to ensure they stay within social licence.&#10;" title="Social licence boundaries are not fixed or universally agreed u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let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672205" cy="4080510"/>
                    </a:xfrm>
                    <a:prstGeom prst="rect">
                      <a:avLst/>
                    </a:prstGeom>
                  </pic:spPr>
                </pic:pic>
              </a:graphicData>
            </a:graphic>
            <wp14:sizeRelH relativeFrom="page">
              <wp14:pctWidth>0</wp14:pctWidth>
            </wp14:sizeRelH>
            <wp14:sizeRelV relativeFrom="page">
              <wp14:pctHeight>0</wp14:pctHeight>
            </wp14:sizeRelV>
          </wp:anchor>
        </w:drawing>
      </w:r>
      <w:r w:rsidR="00D725F9" w:rsidRPr="00C52D22">
        <w:t>2</w:t>
      </w:r>
      <w:r w:rsidR="0053285F" w:rsidRPr="00C52D22">
        <w:t>.</w:t>
      </w:r>
      <w:r w:rsidR="00753B40" w:rsidRPr="00C52D22">
        <w:t>3</w:t>
      </w:r>
      <w:r w:rsidR="0053285F" w:rsidRPr="00C52D22">
        <w:tab/>
      </w:r>
      <w:r w:rsidR="005C090A" w:rsidRPr="00C52D22">
        <w:t xml:space="preserve">What is </w:t>
      </w:r>
      <w:r w:rsidR="00CD62D6" w:rsidRPr="00C52D22">
        <w:t xml:space="preserve">health data </w:t>
      </w:r>
      <w:r w:rsidR="005C090A" w:rsidRPr="00C52D22">
        <w:t>social licence?</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167F339" w14:textId="1A1ACE51" w:rsidR="003025CB" w:rsidRDefault="008A3858" w:rsidP="001B7537">
      <w:pPr>
        <w:spacing w:after="0" w:line="276" w:lineRule="auto"/>
        <w:rPr>
          <w:sz w:val="24"/>
          <w:szCs w:val="24"/>
        </w:rPr>
      </w:pPr>
      <w:r w:rsidRPr="00C52D22">
        <w:rPr>
          <w:sz w:val="24"/>
          <w:szCs w:val="24"/>
        </w:rPr>
        <w:t>A social licence to operate</w:t>
      </w:r>
      <w:r w:rsidR="00346865" w:rsidRPr="00C52D22">
        <w:rPr>
          <w:sz w:val="24"/>
          <w:szCs w:val="24"/>
        </w:rPr>
        <w:t>, or “social licence” for short,</w:t>
      </w:r>
      <w:r w:rsidRPr="00C52D22">
        <w:rPr>
          <w:sz w:val="24"/>
          <w:szCs w:val="24"/>
        </w:rPr>
        <w:t xml:space="preserve"> is </w:t>
      </w:r>
      <w:r w:rsidR="00DF4698">
        <w:rPr>
          <w:sz w:val="24"/>
          <w:szCs w:val="24"/>
        </w:rPr>
        <w:t>granted</w:t>
      </w:r>
      <w:r w:rsidRPr="00C52D22">
        <w:rPr>
          <w:sz w:val="24"/>
          <w:szCs w:val="24"/>
        </w:rPr>
        <w:t xml:space="preserve"> </w:t>
      </w:r>
      <w:r w:rsidR="00C04F0A" w:rsidRPr="00C52D22">
        <w:rPr>
          <w:sz w:val="24"/>
          <w:szCs w:val="24"/>
        </w:rPr>
        <w:t xml:space="preserve">to organizations </w:t>
      </w:r>
      <w:r w:rsidRPr="00C52D22">
        <w:rPr>
          <w:sz w:val="24"/>
          <w:szCs w:val="24"/>
        </w:rPr>
        <w:t>by communities and stakeholders</w:t>
      </w:r>
      <w:r w:rsidR="00C04F0A" w:rsidRPr="00C52D22">
        <w:rPr>
          <w:sz w:val="24"/>
          <w:szCs w:val="24"/>
        </w:rPr>
        <w:t xml:space="preserve">. This </w:t>
      </w:r>
      <w:r w:rsidR="00346865" w:rsidRPr="00C52D22">
        <w:rPr>
          <w:sz w:val="24"/>
          <w:szCs w:val="24"/>
        </w:rPr>
        <w:t xml:space="preserve">informal </w:t>
      </w:r>
      <w:r w:rsidR="00DF4698">
        <w:rPr>
          <w:sz w:val="24"/>
          <w:szCs w:val="24"/>
        </w:rPr>
        <w:t>agreement</w:t>
      </w:r>
      <w:r w:rsidR="00DF4698" w:rsidRPr="00C52D22">
        <w:rPr>
          <w:sz w:val="24"/>
          <w:szCs w:val="24"/>
        </w:rPr>
        <w:t xml:space="preserve"> </w:t>
      </w:r>
      <w:r w:rsidR="00C04F0A" w:rsidRPr="00C52D22">
        <w:rPr>
          <w:sz w:val="24"/>
          <w:szCs w:val="24"/>
        </w:rPr>
        <w:t xml:space="preserve">is </w:t>
      </w:r>
      <w:r w:rsidR="00915F31" w:rsidRPr="00C52D22">
        <w:rPr>
          <w:sz w:val="24"/>
          <w:szCs w:val="24"/>
        </w:rPr>
        <w:t xml:space="preserve">a </w:t>
      </w:r>
      <w:r w:rsidR="00346865" w:rsidRPr="00C52D22">
        <w:rPr>
          <w:sz w:val="24"/>
          <w:szCs w:val="24"/>
        </w:rPr>
        <w:t xml:space="preserve">kind of </w:t>
      </w:r>
      <w:r w:rsidR="00C04F0A" w:rsidRPr="00C52D22">
        <w:rPr>
          <w:sz w:val="24"/>
          <w:szCs w:val="24"/>
        </w:rPr>
        <w:t xml:space="preserve">permission for </w:t>
      </w:r>
      <w:r w:rsidRPr="00C52D22">
        <w:rPr>
          <w:sz w:val="24"/>
          <w:szCs w:val="24"/>
        </w:rPr>
        <w:t xml:space="preserve">organizations to perform certain kinds of work. </w:t>
      </w:r>
      <w:r w:rsidR="001B7537" w:rsidRPr="00C52D22">
        <w:rPr>
          <w:sz w:val="24"/>
          <w:szCs w:val="24"/>
        </w:rPr>
        <w:t xml:space="preserve">It is possible for an activity to be legally allowed, but outside of social licence. </w:t>
      </w:r>
    </w:p>
    <w:p w14:paraId="17EFD2F3" w14:textId="77777777" w:rsidR="00553141" w:rsidRDefault="00553141" w:rsidP="001B7537">
      <w:pPr>
        <w:spacing w:after="0" w:line="276" w:lineRule="auto"/>
        <w:rPr>
          <w:sz w:val="24"/>
          <w:szCs w:val="24"/>
        </w:rPr>
      </w:pPr>
    </w:p>
    <w:p w14:paraId="0F50EBF3" w14:textId="10E809C4" w:rsidR="000A63D9" w:rsidRDefault="008A3858" w:rsidP="001B7537">
      <w:pPr>
        <w:spacing w:after="0" w:line="276" w:lineRule="auto"/>
        <w:rPr>
          <w:sz w:val="24"/>
          <w:szCs w:val="24"/>
        </w:rPr>
      </w:pPr>
      <w:r w:rsidRPr="00C52D22">
        <w:rPr>
          <w:sz w:val="24"/>
          <w:szCs w:val="24"/>
        </w:rPr>
        <w:t xml:space="preserve">Increasingly, the term social licence is being used to describe which data-related activities </w:t>
      </w:r>
      <w:r w:rsidR="00C04F0A" w:rsidRPr="00C52D22">
        <w:rPr>
          <w:sz w:val="24"/>
          <w:szCs w:val="24"/>
        </w:rPr>
        <w:t xml:space="preserve">have the support of </w:t>
      </w:r>
      <w:r w:rsidRPr="00C52D22">
        <w:rPr>
          <w:sz w:val="24"/>
          <w:szCs w:val="24"/>
        </w:rPr>
        <w:t xml:space="preserve">members of the public, and under what conditions. </w:t>
      </w:r>
      <w:r w:rsidR="00346865" w:rsidRPr="00C52D22">
        <w:rPr>
          <w:sz w:val="24"/>
          <w:szCs w:val="24"/>
        </w:rPr>
        <w:t xml:space="preserve"> </w:t>
      </w:r>
      <w:r w:rsidR="00CD62D6" w:rsidRPr="00C52D22">
        <w:rPr>
          <w:sz w:val="24"/>
          <w:szCs w:val="24"/>
        </w:rPr>
        <w:t>To say that a use or user of health data is within “</w:t>
      </w:r>
      <w:r w:rsidR="00346865" w:rsidRPr="00C52D22">
        <w:rPr>
          <w:sz w:val="24"/>
          <w:szCs w:val="24"/>
        </w:rPr>
        <w:t>h</w:t>
      </w:r>
      <w:r w:rsidR="00CD62D6" w:rsidRPr="00C52D22">
        <w:rPr>
          <w:sz w:val="24"/>
          <w:szCs w:val="24"/>
        </w:rPr>
        <w:t>ealth data social licence” means that it is</w:t>
      </w:r>
      <w:r w:rsidR="00346865" w:rsidRPr="00C52D22">
        <w:rPr>
          <w:sz w:val="24"/>
          <w:szCs w:val="24"/>
        </w:rPr>
        <w:t xml:space="preserve"> one of the uses or users that,</w:t>
      </w:r>
      <w:r w:rsidR="00CD62D6" w:rsidRPr="00C52D22">
        <w:rPr>
          <w:sz w:val="24"/>
          <w:szCs w:val="24"/>
        </w:rPr>
        <w:t xml:space="preserve"> at a minimum</w:t>
      </w:r>
      <w:r w:rsidR="00346865" w:rsidRPr="00C52D22">
        <w:rPr>
          <w:sz w:val="24"/>
          <w:szCs w:val="24"/>
        </w:rPr>
        <w:t>, is</w:t>
      </w:r>
      <w:r w:rsidR="00CD62D6" w:rsidRPr="00C52D22">
        <w:rPr>
          <w:sz w:val="24"/>
          <w:szCs w:val="24"/>
        </w:rPr>
        <w:t xml:space="preserve"> publicly acceptable, and ideally</w:t>
      </w:r>
      <w:r w:rsidR="00346865" w:rsidRPr="00C52D22">
        <w:rPr>
          <w:sz w:val="24"/>
          <w:szCs w:val="24"/>
        </w:rPr>
        <w:t>, has active public support.</w:t>
      </w:r>
    </w:p>
    <w:p w14:paraId="12DAEEDF" w14:textId="77777777" w:rsidR="00813622" w:rsidRPr="00C52D22" w:rsidRDefault="00813622" w:rsidP="001B7537">
      <w:pPr>
        <w:spacing w:after="0" w:line="276" w:lineRule="auto"/>
        <w:rPr>
          <w:sz w:val="24"/>
          <w:szCs w:val="24"/>
        </w:rPr>
      </w:pPr>
    </w:p>
    <w:p w14:paraId="1216075B" w14:textId="7C18F779" w:rsidR="00EB41F7" w:rsidRPr="00813622" w:rsidRDefault="00AA6E30" w:rsidP="00254326">
      <w:pPr>
        <w:pStyle w:val="Heading2"/>
        <w:keepNext w:val="0"/>
        <w:keepLines w:val="0"/>
        <w:widowControl w:val="0"/>
        <w:rPr>
          <w:sz w:val="16"/>
          <w:szCs w:val="16"/>
        </w:rPr>
      </w:pPr>
      <w:bookmarkStart w:id="139" w:name="_Toc113424702"/>
      <w:bookmarkStart w:id="140" w:name="_Toc113424761"/>
      <w:bookmarkStart w:id="141" w:name="_Toc113424785"/>
      <w:bookmarkStart w:id="142" w:name="_Toc113424809"/>
      <w:bookmarkStart w:id="143" w:name="_Toc113424869"/>
      <w:bookmarkStart w:id="144" w:name="_Toc113424962"/>
      <w:bookmarkStart w:id="145" w:name="_Toc104995155"/>
      <w:bookmarkStart w:id="146" w:name="_Toc105053240"/>
      <w:bookmarkStart w:id="147" w:name="_Toc105054562"/>
      <w:bookmarkStart w:id="148" w:name="_Toc108603500"/>
      <w:bookmarkStart w:id="149" w:name="_Toc108604553"/>
      <w:bookmarkStart w:id="150" w:name="_Toc108605482"/>
      <w:bookmarkStart w:id="151" w:name="_Toc113372694"/>
      <w:bookmarkStart w:id="152" w:name="_Toc113372811"/>
      <w:bookmarkStart w:id="153" w:name="_Toc113702905"/>
      <w:bookmarkStart w:id="154" w:name="_Toc113702933"/>
      <w:bookmarkStart w:id="155" w:name="_Toc113710855"/>
      <w:bookmarkStart w:id="156" w:name="_Toc113805532"/>
      <w:bookmarkStart w:id="157" w:name="_Toc113811622"/>
      <w:r w:rsidRPr="00C52D22">
        <w:t>3</w:t>
      </w:r>
      <w:r w:rsidR="0053285F" w:rsidRPr="00C52D22">
        <w:t>.0</w:t>
      </w:r>
      <w:r w:rsidR="0053285F" w:rsidRPr="00C52D22">
        <w:tab/>
      </w:r>
      <w:r w:rsidR="00205CCD">
        <w:t>Essential r</w:t>
      </w:r>
      <w:r w:rsidR="00C3732F" w:rsidRPr="00C52D22">
        <w:t xml:space="preserve">equirements for </w:t>
      </w:r>
      <w:r w:rsidR="00B01AF6" w:rsidRPr="00C52D22">
        <w:t>h</w:t>
      </w:r>
      <w:r w:rsidR="00187D9A" w:rsidRPr="00C52D22">
        <w:t xml:space="preserve">ealth </w:t>
      </w:r>
      <w:r w:rsidR="00B01AF6" w:rsidRPr="00C52D22">
        <w:t>d</w:t>
      </w:r>
      <w:r w:rsidR="00187D9A" w:rsidRPr="00C52D22">
        <w:t xml:space="preserve">ata </w:t>
      </w:r>
      <w:r w:rsidR="00B01AF6" w:rsidRPr="00C52D22">
        <w:t>s</w:t>
      </w:r>
      <w:r w:rsidR="00EB41F7" w:rsidRPr="00C52D22">
        <w:t xml:space="preserve">ocial </w:t>
      </w:r>
      <w:r w:rsidR="00B01AF6" w:rsidRPr="00C52D22">
        <w:t>l</w:t>
      </w:r>
      <w:r w:rsidR="00EB41F7" w:rsidRPr="00C52D22">
        <w:t>icence</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00813622">
        <w:br/>
      </w:r>
    </w:p>
    <w:p w14:paraId="342F08FB" w14:textId="30CB5DE6" w:rsidR="00945189" w:rsidRDefault="00C60759" w:rsidP="00B2492E">
      <w:pPr>
        <w:pStyle w:val="Heading3"/>
        <w:shd w:val="clear" w:color="auto" w:fill="F2F2F2" w:themeFill="background1" w:themeFillShade="F2"/>
      </w:pPr>
      <w:bookmarkStart w:id="158" w:name="_Toc104995156"/>
      <w:bookmarkStart w:id="159" w:name="_Toc113424810"/>
      <w:bookmarkStart w:id="160" w:name="_Toc113424870"/>
      <w:bookmarkStart w:id="161" w:name="_Toc113702934"/>
      <w:bookmarkStart w:id="162" w:name="_Toc113710856"/>
      <w:bookmarkStart w:id="163" w:name="_Toc113811623"/>
      <w:r w:rsidRPr="00C60759">
        <w:rPr>
          <w:sz w:val="16"/>
          <w:szCs w:val="16"/>
        </w:rPr>
        <w:br/>
      </w:r>
      <w:r w:rsidR="00945189">
        <w:t>3.1</w:t>
      </w:r>
      <w:r w:rsidR="00945189">
        <w:tab/>
        <w:t>Our process</w:t>
      </w:r>
      <w:bookmarkEnd w:id="158"/>
      <w:r w:rsidR="00945189">
        <w:t xml:space="preserve"> for identifying essential requirements</w:t>
      </w:r>
      <w:bookmarkEnd w:id="159"/>
      <w:bookmarkEnd w:id="160"/>
      <w:bookmarkEnd w:id="161"/>
      <w:bookmarkEnd w:id="162"/>
      <w:bookmarkEnd w:id="163"/>
    </w:p>
    <w:p w14:paraId="0B784BB2" w14:textId="77777777" w:rsidR="00945189" w:rsidRDefault="00945189" w:rsidP="00B2492E">
      <w:pPr>
        <w:shd w:val="clear" w:color="auto" w:fill="F2F2F2" w:themeFill="background1" w:themeFillShade="F2"/>
        <w:rPr>
          <w:sz w:val="24"/>
          <w:szCs w:val="24"/>
        </w:rPr>
      </w:pPr>
      <w:r>
        <w:rPr>
          <w:sz w:val="24"/>
          <w:szCs w:val="24"/>
        </w:rPr>
        <w:t xml:space="preserve">Our first task was to have participants co-develop a list of </w:t>
      </w:r>
      <w:r w:rsidRPr="00254326">
        <w:rPr>
          <w:sz w:val="24"/>
          <w:szCs w:val="24"/>
        </w:rPr>
        <w:t>essential requirements</w:t>
      </w:r>
      <w:r>
        <w:rPr>
          <w:i/>
          <w:iCs/>
          <w:sz w:val="24"/>
          <w:szCs w:val="24"/>
        </w:rPr>
        <w:t xml:space="preserve"> </w:t>
      </w:r>
      <w:r>
        <w:rPr>
          <w:sz w:val="24"/>
          <w:szCs w:val="24"/>
        </w:rPr>
        <w:t xml:space="preserve">that a health data use or user would need to fulfill to be within social licence. Each participant worked individually, then participated in two sets of group discussions. </w:t>
      </w:r>
      <w:r w:rsidRPr="002231D1">
        <w:rPr>
          <w:sz w:val="24"/>
          <w:szCs w:val="24"/>
        </w:rPr>
        <w:t xml:space="preserve">Group discussions were facilitated by HDRN Canada and GRIIS project team members and conducted in the first language of the participants. </w:t>
      </w:r>
    </w:p>
    <w:p w14:paraId="20FC9C38" w14:textId="04DE1527" w:rsidR="00945189" w:rsidRDefault="00945189" w:rsidP="00B2492E">
      <w:pPr>
        <w:shd w:val="clear" w:color="auto" w:fill="F2F2F2" w:themeFill="background1" w:themeFillShade="F2"/>
        <w:rPr>
          <w:sz w:val="24"/>
          <w:szCs w:val="24"/>
        </w:rPr>
      </w:pPr>
      <w:r>
        <w:rPr>
          <w:sz w:val="24"/>
          <w:szCs w:val="24"/>
        </w:rPr>
        <w:t>A</w:t>
      </w:r>
      <w:r w:rsidRPr="00C52D22">
        <w:rPr>
          <w:sz w:val="24"/>
          <w:szCs w:val="24"/>
        </w:rPr>
        <w:t>fter hours of discussion and weeks of reflection</w:t>
      </w:r>
      <w:r>
        <w:rPr>
          <w:sz w:val="24"/>
          <w:szCs w:val="24"/>
        </w:rPr>
        <w:t xml:space="preserve"> there was no coalescence of views on essential requirements for health data social licence. Instead, based on participants’ input, the </w:t>
      </w:r>
      <w:r w:rsidRPr="00C52D22">
        <w:rPr>
          <w:sz w:val="24"/>
          <w:szCs w:val="24"/>
        </w:rPr>
        <w:t xml:space="preserve">list of 40 requirements </w:t>
      </w:r>
      <w:r>
        <w:rPr>
          <w:sz w:val="24"/>
          <w:szCs w:val="24"/>
        </w:rPr>
        <w:t xml:space="preserve">that was </w:t>
      </w:r>
      <w:r w:rsidRPr="00C52D22">
        <w:rPr>
          <w:sz w:val="24"/>
          <w:szCs w:val="24"/>
        </w:rPr>
        <w:t>initially pr</w:t>
      </w:r>
      <w:r>
        <w:rPr>
          <w:sz w:val="24"/>
          <w:szCs w:val="24"/>
        </w:rPr>
        <w:t xml:space="preserve">esented to participants was expanded </w:t>
      </w:r>
      <w:r w:rsidRPr="00C52D22">
        <w:rPr>
          <w:sz w:val="24"/>
          <w:szCs w:val="24"/>
        </w:rPr>
        <w:t xml:space="preserve">to </w:t>
      </w:r>
      <w:r>
        <w:rPr>
          <w:sz w:val="24"/>
          <w:szCs w:val="24"/>
        </w:rPr>
        <w:t xml:space="preserve">include </w:t>
      </w:r>
      <w:r w:rsidRPr="00C52D22">
        <w:rPr>
          <w:sz w:val="24"/>
          <w:szCs w:val="24"/>
        </w:rPr>
        <w:t>85 requirements</w:t>
      </w:r>
      <w:r>
        <w:rPr>
          <w:sz w:val="24"/>
          <w:szCs w:val="24"/>
        </w:rPr>
        <w:t xml:space="preserve"> in seven categories. </w:t>
      </w:r>
      <w:r w:rsidRPr="00C52D22">
        <w:rPr>
          <w:sz w:val="24"/>
          <w:szCs w:val="24"/>
        </w:rPr>
        <w:t>In several cases, the differences between requirements were small, but seen as meaningful by participants.</w:t>
      </w:r>
    </w:p>
    <w:p w14:paraId="56DE2F6A" w14:textId="77777777" w:rsidR="00C60759" w:rsidRPr="00C60759" w:rsidRDefault="00C60759" w:rsidP="00B2492E">
      <w:pPr>
        <w:shd w:val="clear" w:color="auto" w:fill="F2F2F2" w:themeFill="background1" w:themeFillShade="F2"/>
        <w:rPr>
          <w:sz w:val="2"/>
          <w:szCs w:val="2"/>
        </w:rPr>
      </w:pPr>
    </w:p>
    <w:p w14:paraId="542F4320" w14:textId="77777777" w:rsidR="00945189" w:rsidRPr="00945189" w:rsidRDefault="00945189" w:rsidP="00945189"/>
    <w:p w14:paraId="318D74F4" w14:textId="77777777" w:rsidR="00200AAD" w:rsidRPr="00200AAD" w:rsidRDefault="00200AAD" w:rsidP="00200AAD"/>
    <w:p w14:paraId="24A766E0" w14:textId="5D3954D3" w:rsidR="00805BE8" w:rsidRPr="00C52D22" w:rsidRDefault="00AA6E30" w:rsidP="00805BE8">
      <w:pPr>
        <w:pStyle w:val="Heading3"/>
      </w:pPr>
      <w:bookmarkStart w:id="164" w:name="_Toc104995157"/>
      <w:bookmarkStart w:id="165" w:name="_Toc105053242"/>
      <w:bookmarkStart w:id="166" w:name="_Toc105054564"/>
      <w:bookmarkStart w:id="167" w:name="_Toc108603502"/>
      <w:bookmarkStart w:id="168" w:name="_Toc108604555"/>
      <w:bookmarkStart w:id="169" w:name="_Toc108605484"/>
      <w:bookmarkStart w:id="170" w:name="_Toc113372696"/>
      <w:bookmarkStart w:id="171" w:name="_Toc113372813"/>
      <w:bookmarkStart w:id="172" w:name="_Toc113424704"/>
      <w:bookmarkStart w:id="173" w:name="_Toc113424763"/>
      <w:bookmarkStart w:id="174" w:name="_Toc113424787"/>
      <w:bookmarkStart w:id="175" w:name="_Toc113424811"/>
      <w:bookmarkStart w:id="176" w:name="_Toc113424871"/>
      <w:bookmarkStart w:id="177" w:name="_Toc113424964"/>
      <w:bookmarkStart w:id="178" w:name="_Toc113702907"/>
      <w:bookmarkStart w:id="179" w:name="_Toc113702935"/>
      <w:bookmarkStart w:id="180" w:name="_Toc113710857"/>
      <w:bookmarkStart w:id="181" w:name="_Toc113805534"/>
      <w:bookmarkStart w:id="182" w:name="_Toc113811624"/>
      <w:r w:rsidRPr="00C52D22">
        <w:lastRenderedPageBreak/>
        <w:t>3</w:t>
      </w:r>
      <w:r w:rsidR="0053285F" w:rsidRPr="00C52D22">
        <w:t>.2</w:t>
      </w:r>
      <w:r w:rsidR="0053285F" w:rsidRPr="00C52D22">
        <w:tab/>
      </w:r>
      <w:r w:rsidR="004C757F">
        <w:t>R</w:t>
      </w:r>
      <w:r w:rsidR="00805BE8" w:rsidRPr="00C52D22">
        <w:t>equirements for health data social licence</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004C757F">
        <w:t>, by category</w:t>
      </w:r>
      <w:bookmarkEnd w:id="178"/>
      <w:bookmarkEnd w:id="179"/>
      <w:bookmarkEnd w:id="180"/>
      <w:bookmarkEnd w:id="181"/>
      <w:bookmarkEnd w:id="182"/>
    </w:p>
    <w:p w14:paraId="1D4507EB" w14:textId="2B638BB8" w:rsidR="00DD7790" w:rsidRDefault="007C49C9" w:rsidP="00C3732F">
      <w:pPr>
        <w:rPr>
          <w:sz w:val="24"/>
          <w:szCs w:val="24"/>
          <w:u w:val="single"/>
        </w:rPr>
      </w:pPr>
      <w:r>
        <w:rPr>
          <w:sz w:val="24"/>
          <w:szCs w:val="24"/>
        </w:rPr>
        <w:t xml:space="preserve">To help participants </w:t>
      </w:r>
      <w:r w:rsidR="004800D6">
        <w:rPr>
          <w:sz w:val="24"/>
          <w:szCs w:val="24"/>
        </w:rPr>
        <w:t xml:space="preserve">think about requirements for health data social licence, we presented potential requirements in seven categories (see Table 1). Through the process, participants made many additions to the requirements, </w:t>
      </w:r>
      <w:r w:rsidR="001D0E5D">
        <w:rPr>
          <w:sz w:val="24"/>
          <w:szCs w:val="24"/>
        </w:rPr>
        <w:t xml:space="preserve">and some changes to the category names. </w:t>
      </w:r>
      <w:r w:rsidR="00565008">
        <w:rPr>
          <w:sz w:val="24"/>
          <w:szCs w:val="24"/>
        </w:rPr>
        <w:t>Every</w:t>
      </w:r>
      <w:r w:rsidR="000336A5">
        <w:rPr>
          <w:sz w:val="24"/>
          <w:szCs w:val="24"/>
        </w:rPr>
        <w:t xml:space="preserve"> </w:t>
      </w:r>
      <w:r w:rsidR="00565008">
        <w:rPr>
          <w:sz w:val="24"/>
          <w:szCs w:val="24"/>
        </w:rPr>
        <w:t xml:space="preserve">one of </w:t>
      </w:r>
      <w:r w:rsidR="00D45EAA" w:rsidRPr="009D17F2">
        <w:rPr>
          <w:sz w:val="24"/>
          <w:szCs w:val="24"/>
        </w:rPr>
        <w:t xml:space="preserve">85 requirements </w:t>
      </w:r>
      <w:r w:rsidR="00055EA9">
        <w:rPr>
          <w:sz w:val="24"/>
          <w:szCs w:val="24"/>
        </w:rPr>
        <w:t xml:space="preserve">identified </w:t>
      </w:r>
      <w:r w:rsidR="00565008">
        <w:rPr>
          <w:sz w:val="24"/>
          <w:szCs w:val="24"/>
        </w:rPr>
        <w:t xml:space="preserve">by the end of the </w:t>
      </w:r>
      <w:r w:rsidR="00055EA9">
        <w:rPr>
          <w:sz w:val="24"/>
          <w:szCs w:val="24"/>
        </w:rPr>
        <w:t xml:space="preserve">process </w:t>
      </w:r>
      <w:r w:rsidR="00D45EAA" w:rsidRPr="009D17F2">
        <w:rPr>
          <w:sz w:val="24"/>
          <w:szCs w:val="24"/>
        </w:rPr>
        <w:t xml:space="preserve">was </w:t>
      </w:r>
      <w:r w:rsidR="00565008">
        <w:rPr>
          <w:sz w:val="24"/>
          <w:szCs w:val="24"/>
        </w:rPr>
        <w:t xml:space="preserve">perceived to be </w:t>
      </w:r>
      <w:r w:rsidR="00D45EAA" w:rsidRPr="009D17F2">
        <w:rPr>
          <w:sz w:val="24"/>
          <w:szCs w:val="24"/>
        </w:rPr>
        <w:t xml:space="preserve">essential by at least one participant. </w:t>
      </w:r>
      <w:r w:rsidR="00D45EAA" w:rsidRPr="00F057E0">
        <w:rPr>
          <w:sz w:val="24"/>
          <w:szCs w:val="24"/>
        </w:rPr>
        <w:t>T</w:t>
      </w:r>
      <w:r w:rsidR="00D45EAA" w:rsidRPr="00C52D22">
        <w:rPr>
          <w:sz w:val="24"/>
          <w:szCs w:val="24"/>
        </w:rPr>
        <w:t xml:space="preserve">his highlights the diversity of </w:t>
      </w:r>
      <w:r w:rsidR="00055EA9">
        <w:rPr>
          <w:sz w:val="24"/>
          <w:szCs w:val="24"/>
        </w:rPr>
        <w:t>participants</w:t>
      </w:r>
      <w:r w:rsidR="0079797D">
        <w:rPr>
          <w:sz w:val="24"/>
          <w:szCs w:val="24"/>
        </w:rPr>
        <w:t>’</w:t>
      </w:r>
      <w:r w:rsidR="00055EA9">
        <w:rPr>
          <w:sz w:val="24"/>
          <w:szCs w:val="24"/>
        </w:rPr>
        <w:t xml:space="preserve"> </w:t>
      </w:r>
      <w:r w:rsidR="00D45EAA" w:rsidRPr="00C52D22">
        <w:rPr>
          <w:sz w:val="24"/>
          <w:szCs w:val="24"/>
        </w:rPr>
        <w:t>views</w:t>
      </w:r>
      <w:r w:rsidR="00733D26">
        <w:rPr>
          <w:sz w:val="24"/>
          <w:szCs w:val="24"/>
        </w:rPr>
        <w:t xml:space="preserve"> and confirms that each of the seven categories was perceived to be important</w:t>
      </w:r>
      <w:r w:rsidR="00D45EAA">
        <w:rPr>
          <w:sz w:val="24"/>
          <w:szCs w:val="24"/>
        </w:rPr>
        <w:t>.</w:t>
      </w:r>
      <w:r w:rsidR="00D45EAA">
        <w:rPr>
          <w:sz w:val="24"/>
          <w:szCs w:val="24"/>
          <w:u w:val="single"/>
        </w:rPr>
        <w:t xml:space="preserve"> </w:t>
      </w:r>
    </w:p>
    <w:p w14:paraId="021BC087" w14:textId="1CA912DA" w:rsidR="00C3732F" w:rsidRPr="00C52D22" w:rsidRDefault="00C3732F" w:rsidP="00C3732F">
      <w:pPr>
        <w:rPr>
          <w:sz w:val="24"/>
          <w:szCs w:val="24"/>
          <w:u w:val="single"/>
        </w:rPr>
      </w:pPr>
      <w:r w:rsidRPr="00C52D22">
        <w:rPr>
          <w:sz w:val="24"/>
          <w:szCs w:val="24"/>
          <w:u w:val="single"/>
        </w:rPr>
        <w:t>Table 1: Categories of requirements for health data social licence</w:t>
      </w:r>
    </w:p>
    <w:tbl>
      <w:tblPr>
        <w:tblStyle w:val="TableGrid"/>
        <w:tblW w:w="0" w:type="auto"/>
        <w:tblLook w:val="04A0" w:firstRow="1" w:lastRow="0" w:firstColumn="1" w:lastColumn="0" w:noHBand="0" w:noVBand="1"/>
        <w:tblCaption w:val="Table 1: Categories of requirements for health data social licence"/>
        <w:tblDescription w:val="This table shows the seven categories of social licence presented to participants, and the number of unique requirements in each category at the beginning (40) and end of the process (85)."/>
      </w:tblPr>
      <w:tblGrid>
        <w:gridCol w:w="4018"/>
        <w:gridCol w:w="2781"/>
        <w:gridCol w:w="2551"/>
      </w:tblGrid>
      <w:tr w:rsidR="00E74C54" w:rsidRPr="004511B3" w14:paraId="5DEB7CB2" w14:textId="77777777" w:rsidTr="008349B3">
        <w:trPr>
          <w:tblHeader/>
        </w:trPr>
        <w:tc>
          <w:tcPr>
            <w:tcW w:w="4018" w:type="dxa"/>
            <w:vAlign w:val="bottom"/>
          </w:tcPr>
          <w:p w14:paraId="4E4CF0FD" w14:textId="1D0DBC1A" w:rsidR="00E74C54" w:rsidRDefault="00E74C54" w:rsidP="00E74C54">
            <w:pPr>
              <w:rPr>
                <w:rFonts w:cstheme="minorHAnsi"/>
                <w:sz w:val="24"/>
                <w:szCs w:val="24"/>
              </w:rPr>
            </w:pPr>
            <w:r w:rsidRPr="009D17F2">
              <w:rPr>
                <w:rFonts w:cstheme="minorHAnsi"/>
                <w:sz w:val="24"/>
                <w:szCs w:val="24"/>
              </w:rPr>
              <w:t>Requirement Categor</w:t>
            </w:r>
            <w:r>
              <w:rPr>
                <w:rFonts w:cstheme="minorHAnsi"/>
                <w:sz w:val="24"/>
                <w:szCs w:val="24"/>
              </w:rPr>
              <w:t xml:space="preserve">y </w:t>
            </w:r>
            <w:r w:rsidR="001D0E5D">
              <w:rPr>
                <w:rFonts w:cstheme="minorHAnsi"/>
                <w:sz w:val="24"/>
                <w:szCs w:val="24"/>
              </w:rPr>
              <w:br/>
            </w:r>
            <w:r w:rsidRPr="009D17F2">
              <w:rPr>
                <w:rFonts w:cstheme="minorHAnsi"/>
                <w:sz w:val="24"/>
                <w:szCs w:val="24"/>
              </w:rPr>
              <w:t>(in alphabetical order)</w:t>
            </w:r>
          </w:p>
          <w:p w14:paraId="7DB5B782" w14:textId="30808A78" w:rsidR="001D0E5D" w:rsidRPr="009D17F2" w:rsidRDefault="001D0E5D" w:rsidP="00E74C54">
            <w:pPr>
              <w:rPr>
                <w:rFonts w:cstheme="minorHAnsi"/>
                <w:sz w:val="24"/>
                <w:szCs w:val="24"/>
              </w:rPr>
            </w:pPr>
          </w:p>
        </w:tc>
        <w:tc>
          <w:tcPr>
            <w:tcW w:w="2781" w:type="dxa"/>
            <w:vAlign w:val="bottom"/>
          </w:tcPr>
          <w:p w14:paraId="0AFE772A" w14:textId="5B59773B" w:rsidR="00E74C54" w:rsidRPr="00254326" w:rsidRDefault="00E74C54" w:rsidP="00E74C54">
            <w:pPr>
              <w:jc w:val="center"/>
              <w:rPr>
                <w:rFonts w:cstheme="minorHAnsi"/>
                <w:sz w:val="24"/>
                <w:szCs w:val="24"/>
                <w:highlight w:val="yellow"/>
              </w:rPr>
            </w:pPr>
            <w:r w:rsidRPr="001B40DF">
              <w:rPr>
                <w:rFonts w:cstheme="minorHAnsi"/>
                <w:sz w:val="24"/>
                <w:szCs w:val="24"/>
              </w:rPr>
              <w:t>Number of unique requirements in category at the beginning of the process</w:t>
            </w:r>
          </w:p>
        </w:tc>
        <w:tc>
          <w:tcPr>
            <w:tcW w:w="2551" w:type="dxa"/>
            <w:vAlign w:val="bottom"/>
          </w:tcPr>
          <w:p w14:paraId="3F4DE679" w14:textId="75BA6696" w:rsidR="00E74C54" w:rsidRPr="009D17F2" w:rsidRDefault="00E74C54" w:rsidP="00E74C54">
            <w:pPr>
              <w:jc w:val="center"/>
              <w:rPr>
                <w:rFonts w:cstheme="minorHAnsi"/>
                <w:sz w:val="24"/>
                <w:szCs w:val="24"/>
              </w:rPr>
            </w:pPr>
            <w:r w:rsidRPr="009D17F2">
              <w:rPr>
                <w:rFonts w:cstheme="minorHAnsi"/>
                <w:sz w:val="24"/>
                <w:szCs w:val="24"/>
              </w:rPr>
              <w:t>Number of unique requirements in category at the end of the process</w:t>
            </w:r>
          </w:p>
        </w:tc>
      </w:tr>
      <w:tr w:rsidR="00E74C54" w:rsidRPr="004511B3" w14:paraId="1494175A" w14:textId="77777777" w:rsidTr="00254326">
        <w:tc>
          <w:tcPr>
            <w:tcW w:w="4018" w:type="dxa"/>
            <w:vAlign w:val="center"/>
          </w:tcPr>
          <w:p w14:paraId="2E1BA6E3" w14:textId="77777777" w:rsidR="00E74C54" w:rsidRPr="009D17F2" w:rsidRDefault="00E74C54" w:rsidP="00E74C54">
            <w:pPr>
              <w:rPr>
                <w:rFonts w:cstheme="minorHAnsi"/>
                <w:sz w:val="24"/>
                <w:szCs w:val="24"/>
              </w:rPr>
            </w:pPr>
            <w:r w:rsidRPr="009D17F2">
              <w:rPr>
                <w:rFonts w:cstheme="minorHAnsi"/>
                <w:sz w:val="24"/>
                <w:szCs w:val="24"/>
              </w:rPr>
              <w:t xml:space="preserve">A: Benefits </w:t>
            </w:r>
          </w:p>
        </w:tc>
        <w:tc>
          <w:tcPr>
            <w:tcW w:w="2781" w:type="dxa"/>
          </w:tcPr>
          <w:p w14:paraId="16A8F9E1" w14:textId="798AD3D1" w:rsidR="00E74C54" w:rsidRPr="001B40DF" w:rsidRDefault="001B40DF" w:rsidP="00E74C54">
            <w:pPr>
              <w:jc w:val="center"/>
              <w:rPr>
                <w:rFonts w:cstheme="minorHAnsi"/>
                <w:sz w:val="24"/>
                <w:szCs w:val="24"/>
              </w:rPr>
            </w:pPr>
            <w:r w:rsidRPr="001B40DF">
              <w:rPr>
                <w:rFonts w:cstheme="minorHAnsi"/>
                <w:sz w:val="24"/>
                <w:szCs w:val="24"/>
              </w:rPr>
              <w:t>5</w:t>
            </w:r>
          </w:p>
        </w:tc>
        <w:tc>
          <w:tcPr>
            <w:tcW w:w="2551" w:type="dxa"/>
          </w:tcPr>
          <w:p w14:paraId="75DE0D5B" w14:textId="552C1185" w:rsidR="00E74C54" w:rsidRPr="009D17F2" w:rsidRDefault="00E74C54" w:rsidP="00E74C54">
            <w:pPr>
              <w:jc w:val="center"/>
              <w:rPr>
                <w:rFonts w:cstheme="minorHAnsi"/>
                <w:sz w:val="24"/>
                <w:szCs w:val="24"/>
              </w:rPr>
            </w:pPr>
            <w:r w:rsidRPr="009D17F2">
              <w:rPr>
                <w:rFonts w:cstheme="minorHAnsi"/>
                <w:sz w:val="24"/>
                <w:szCs w:val="24"/>
              </w:rPr>
              <w:t>9</w:t>
            </w:r>
          </w:p>
        </w:tc>
      </w:tr>
      <w:tr w:rsidR="00E74C54" w:rsidRPr="004511B3" w14:paraId="55319397" w14:textId="77777777" w:rsidTr="00254326">
        <w:tc>
          <w:tcPr>
            <w:tcW w:w="4018" w:type="dxa"/>
            <w:vAlign w:val="center"/>
          </w:tcPr>
          <w:p w14:paraId="10508541" w14:textId="77777777" w:rsidR="00E74C54" w:rsidRPr="009D17F2" w:rsidRDefault="00E74C54" w:rsidP="00E74C54">
            <w:pPr>
              <w:rPr>
                <w:rFonts w:cstheme="minorHAnsi"/>
                <w:sz w:val="24"/>
                <w:szCs w:val="24"/>
              </w:rPr>
            </w:pPr>
            <w:r w:rsidRPr="009D17F2">
              <w:rPr>
                <w:rFonts w:cstheme="minorHAnsi"/>
                <w:sz w:val="24"/>
                <w:szCs w:val="24"/>
              </w:rPr>
              <w:t>B: Commercial Organizations </w:t>
            </w:r>
          </w:p>
        </w:tc>
        <w:tc>
          <w:tcPr>
            <w:tcW w:w="2781" w:type="dxa"/>
          </w:tcPr>
          <w:p w14:paraId="357C8C9A" w14:textId="66608145" w:rsidR="00E74C54" w:rsidRPr="001B40DF" w:rsidRDefault="001B40DF" w:rsidP="00E74C54">
            <w:pPr>
              <w:jc w:val="center"/>
              <w:rPr>
                <w:rFonts w:cstheme="minorHAnsi"/>
                <w:sz w:val="24"/>
                <w:szCs w:val="24"/>
              </w:rPr>
            </w:pPr>
            <w:r w:rsidRPr="001B40DF">
              <w:rPr>
                <w:rFonts w:cstheme="minorHAnsi"/>
                <w:sz w:val="24"/>
                <w:szCs w:val="24"/>
              </w:rPr>
              <w:t>6</w:t>
            </w:r>
          </w:p>
        </w:tc>
        <w:tc>
          <w:tcPr>
            <w:tcW w:w="2551" w:type="dxa"/>
          </w:tcPr>
          <w:p w14:paraId="7C14D2DF" w14:textId="06C10229" w:rsidR="00E74C54" w:rsidRPr="009D17F2" w:rsidRDefault="00E74C54" w:rsidP="00E74C54">
            <w:pPr>
              <w:jc w:val="center"/>
              <w:rPr>
                <w:rFonts w:cstheme="minorHAnsi"/>
                <w:sz w:val="24"/>
                <w:szCs w:val="24"/>
              </w:rPr>
            </w:pPr>
            <w:r w:rsidRPr="009D17F2">
              <w:rPr>
                <w:rFonts w:cstheme="minorHAnsi"/>
                <w:sz w:val="24"/>
                <w:szCs w:val="24"/>
              </w:rPr>
              <w:t>11</w:t>
            </w:r>
          </w:p>
        </w:tc>
      </w:tr>
      <w:tr w:rsidR="00E74C54" w:rsidRPr="004511B3" w14:paraId="10E97DD5" w14:textId="77777777" w:rsidTr="00254326">
        <w:tc>
          <w:tcPr>
            <w:tcW w:w="4018" w:type="dxa"/>
            <w:vAlign w:val="center"/>
          </w:tcPr>
          <w:p w14:paraId="69F7EB35" w14:textId="77777777" w:rsidR="00E74C54" w:rsidRPr="009D17F2" w:rsidRDefault="00E74C54" w:rsidP="00E74C54">
            <w:pPr>
              <w:rPr>
                <w:rFonts w:cstheme="minorHAnsi"/>
                <w:sz w:val="24"/>
                <w:szCs w:val="24"/>
              </w:rPr>
            </w:pPr>
            <w:r w:rsidRPr="009D17F2">
              <w:rPr>
                <w:rFonts w:cstheme="minorHAnsi"/>
                <w:sz w:val="24"/>
                <w:szCs w:val="24"/>
              </w:rPr>
              <w:t>C: Equity and Fairness </w:t>
            </w:r>
          </w:p>
        </w:tc>
        <w:tc>
          <w:tcPr>
            <w:tcW w:w="2781" w:type="dxa"/>
          </w:tcPr>
          <w:p w14:paraId="4EEB3FD8" w14:textId="440F0D3B" w:rsidR="00E74C54" w:rsidRPr="001B40DF" w:rsidRDefault="001B40DF" w:rsidP="00E74C54">
            <w:pPr>
              <w:jc w:val="center"/>
              <w:rPr>
                <w:rFonts w:cstheme="minorHAnsi"/>
                <w:sz w:val="24"/>
                <w:szCs w:val="24"/>
              </w:rPr>
            </w:pPr>
            <w:r w:rsidRPr="001B40DF">
              <w:rPr>
                <w:rFonts w:cstheme="minorHAnsi"/>
                <w:sz w:val="24"/>
                <w:szCs w:val="24"/>
              </w:rPr>
              <w:t>5</w:t>
            </w:r>
          </w:p>
        </w:tc>
        <w:tc>
          <w:tcPr>
            <w:tcW w:w="2551" w:type="dxa"/>
          </w:tcPr>
          <w:p w14:paraId="67074AE9" w14:textId="4E4F2FD8" w:rsidR="00E74C54" w:rsidRPr="009D17F2" w:rsidRDefault="00E74C54" w:rsidP="00E74C54">
            <w:pPr>
              <w:jc w:val="center"/>
              <w:rPr>
                <w:rFonts w:cstheme="minorHAnsi"/>
                <w:sz w:val="24"/>
                <w:szCs w:val="24"/>
              </w:rPr>
            </w:pPr>
            <w:r w:rsidRPr="009D17F2">
              <w:rPr>
                <w:rFonts w:cstheme="minorHAnsi"/>
                <w:sz w:val="24"/>
                <w:szCs w:val="24"/>
              </w:rPr>
              <w:t>5</w:t>
            </w:r>
          </w:p>
        </w:tc>
      </w:tr>
      <w:tr w:rsidR="00E74C54" w:rsidRPr="004511B3" w14:paraId="21B2683E" w14:textId="77777777" w:rsidTr="00254326">
        <w:tc>
          <w:tcPr>
            <w:tcW w:w="4018" w:type="dxa"/>
            <w:vAlign w:val="center"/>
          </w:tcPr>
          <w:p w14:paraId="688D06E1" w14:textId="77777777" w:rsidR="00E74C54" w:rsidRPr="009D17F2" w:rsidRDefault="00E74C54" w:rsidP="00E74C54">
            <w:pPr>
              <w:rPr>
                <w:rFonts w:cstheme="minorHAnsi"/>
                <w:sz w:val="24"/>
                <w:szCs w:val="24"/>
              </w:rPr>
            </w:pPr>
            <w:r w:rsidRPr="009D17F2">
              <w:rPr>
                <w:rFonts w:cstheme="minorHAnsi"/>
                <w:sz w:val="24"/>
                <w:szCs w:val="24"/>
              </w:rPr>
              <w:t>D: Governance and Oversight </w:t>
            </w:r>
          </w:p>
        </w:tc>
        <w:tc>
          <w:tcPr>
            <w:tcW w:w="2781" w:type="dxa"/>
          </w:tcPr>
          <w:p w14:paraId="3CF8DBBD" w14:textId="6A646C19" w:rsidR="00E74C54" w:rsidRPr="001B40DF" w:rsidRDefault="001B40DF" w:rsidP="00E74C54">
            <w:pPr>
              <w:jc w:val="center"/>
              <w:rPr>
                <w:rFonts w:cstheme="minorHAnsi"/>
                <w:sz w:val="24"/>
                <w:szCs w:val="24"/>
              </w:rPr>
            </w:pPr>
            <w:r w:rsidRPr="001B40DF">
              <w:rPr>
                <w:rFonts w:cstheme="minorHAnsi"/>
                <w:sz w:val="24"/>
                <w:szCs w:val="24"/>
              </w:rPr>
              <w:t>8</w:t>
            </w:r>
          </w:p>
        </w:tc>
        <w:tc>
          <w:tcPr>
            <w:tcW w:w="2551" w:type="dxa"/>
          </w:tcPr>
          <w:p w14:paraId="054DCFEA" w14:textId="011C7D20" w:rsidR="00E74C54" w:rsidRPr="009D17F2" w:rsidRDefault="00E74C54" w:rsidP="00E74C54">
            <w:pPr>
              <w:jc w:val="center"/>
              <w:rPr>
                <w:rFonts w:cstheme="minorHAnsi"/>
                <w:sz w:val="24"/>
                <w:szCs w:val="24"/>
              </w:rPr>
            </w:pPr>
            <w:r w:rsidRPr="009D17F2">
              <w:rPr>
                <w:rFonts w:cstheme="minorHAnsi"/>
                <w:sz w:val="24"/>
                <w:szCs w:val="24"/>
              </w:rPr>
              <w:t>18</w:t>
            </w:r>
          </w:p>
        </w:tc>
      </w:tr>
      <w:tr w:rsidR="00E74C54" w:rsidRPr="004511B3" w14:paraId="23A29F5F" w14:textId="77777777" w:rsidTr="00254326">
        <w:tc>
          <w:tcPr>
            <w:tcW w:w="4018" w:type="dxa"/>
            <w:vAlign w:val="center"/>
          </w:tcPr>
          <w:p w14:paraId="5455E5B1" w14:textId="77777777" w:rsidR="00E74C54" w:rsidRPr="009D17F2" w:rsidRDefault="00E74C54" w:rsidP="00E74C54">
            <w:pPr>
              <w:rPr>
                <w:rFonts w:cstheme="minorHAnsi"/>
                <w:sz w:val="24"/>
                <w:szCs w:val="24"/>
              </w:rPr>
            </w:pPr>
            <w:r w:rsidRPr="009D17F2">
              <w:rPr>
                <w:rFonts w:cstheme="minorHAnsi"/>
                <w:sz w:val="24"/>
                <w:szCs w:val="24"/>
              </w:rPr>
              <w:t>E: Personal Control and Involvement </w:t>
            </w:r>
          </w:p>
        </w:tc>
        <w:tc>
          <w:tcPr>
            <w:tcW w:w="2781" w:type="dxa"/>
          </w:tcPr>
          <w:p w14:paraId="2F96BB50" w14:textId="29CBF758" w:rsidR="00E74C54" w:rsidRPr="001B40DF" w:rsidRDefault="001B40DF" w:rsidP="00E74C54">
            <w:pPr>
              <w:jc w:val="center"/>
              <w:rPr>
                <w:rFonts w:cstheme="minorHAnsi"/>
                <w:sz w:val="24"/>
                <w:szCs w:val="24"/>
              </w:rPr>
            </w:pPr>
            <w:r w:rsidRPr="001B40DF">
              <w:rPr>
                <w:rFonts w:cstheme="minorHAnsi"/>
                <w:sz w:val="24"/>
                <w:szCs w:val="24"/>
              </w:rPr>
              <w:t>6</w:t>
            </w:r>
          </w:p>
        </w:tc>
        <w:tc>
          <w:tcPr>
            <w:tcW w:w="2551" w:type="dxa"/>
          </w:tcPr>
          <w:p w14:paraId="7E59A8F7" w14:textId="63542EDD" w:rsidR="00E74C54" w:rsidRPr="009D17F2" w:rsidRDefault="00E74C54" w:rsidP="00E74C54">
            <w:pPr>
              <w:jc w:val="center"/>
              <w:rPr>
                <w:rFonts w:cstheme="minorHAnsi"/>
                <w:sz w:val="24"/>
                <w:szCs w:val="24"/>
              </w:rPr>
            </w:pPr>
            <w:r w:rsidRPr="009D17F2">
              <w:rPr>
                <w:rFonts w:cstheme="minorHAnsi"/>
                <w:sz w:val="24"/>
                <w:szCs w:val="24"/>
              </w:rPr>
              <w:t>13</w:t>
            </w:r>
          </w:p>
        </w:tc>
      </w:tr>
      <w:tr w:rsidR="00E74C54" w:rsidRPr="004511B3" w14:paraId="43FA25E1" w14:textId="77777777" w:rsidTr="00254326">
        <w:tc>
          <w:tcPr>
            <w:tcW w:w="4018" w:type="dxa"/>
            <w:vAlign w:val="center"/>
          </w:tcPr>
          <w:p w14:paraId="30C8D1C9" w14:textId="77777777" w:rsidR="00E74C54" w:rsidRPr="009D17F2" w:rsidRDefault="00E74C54" w:rsidP="00E74C54">
            <w:pPr>
              <w:rPr>
                <w:rFonts w:cstheme="minorHAnsi"/>
                <w:sz w:val="24"/>
                <w:szCs w:val="24"/>
              </w:rPr>
            </w:pPr>
            <w:r w:rsidRPr="009D17F2">
              <w:rPr>
                <w:rFonts w:cstheme="minorHAnsi"/>
                <w:sz w:val="24"/>
                <w:szCs w:val="24"/>
              </w:rPr>
              <w:t>F: Privacy and Security </w:t>
            </w:r>
          </w:p>
        </w:tc>
        <w:tc>
          <w:tcPr>
            <w:tcW w:w="2781" w:type="dxa"/>
          </w:tcPr>
          <w:p w14:paraId="7CFB67C3" w14:textId="7E9CC035" w:rsidR="00E74C54" w:rsidRPr="001B40DF" w:rsidRDefault="001B40DF" w:rsidP="00E74C54">
            <w:pPr>
              <w:jc w:val="center"/>
              <w:rPr>
                <w:rFonts w:cstheme="minorHAnsi"/>
                <w:sz w:val="24"/>
                <w:szCs w:val="24"/>
              </w:rPr>
            </w:pPr>
            <w:r w:rsidRPr="001B40DF">
              <w:rPr>
                <w:rFonts w:cstheme="minorHAnsi"/>
                <w:sz w:val="24"/>
                <w:szCs w:val="24"/>
              </w:rPr>
              <w:t>7</w:t>
            </w:r>
          </w:p>
        </w:tc>
        <w:tc>
          <w:tcPr>
            <w:tcW w:w="2551" w:type="dxa"/>
          </w:tcPr>
          <w:p w14:paraId="2324D06E" w14:textId="44FEC5E9" w:rsidR="00E74C54" w:rsidRPr="009D17F2" w:rsidRDefault="00E74C54" w:rsidP="00E74C54">
            <w:pPr>
              <w:jc w:val="center"/>
              <w:rPr>
                <w:rFonts w:cstheme="minorHAnsi"/>
                <w:sz w:val="24"/>
                <w:szCs w:val="24"/>
              </w:rPr>
            </w:pPr>
            <w:r w:rsidRPr="009D17F2">
              <w:rPr>
                <w:rFonts w:cstheme="minorHAnsi"/>
                <w:sz w:val="24"/>
                <w:szCs w:val="24"/>
              </w:rPr>
              <w:t>21</w:t>
            </w:r>
          </w:p>
        </w:tc>
      </w:tr>
      <w:tr w:rsidR="00E74C54" w:rsidRPr="004511B3" w14:paraId="4F506E6D" w14:textId="77777777" w:rsidTr="00254326">
        <w:tc>
          <w:tcPr>
            <w:tcW w:w="4018" w:type="dxa"/>
            <w:vAlign w:val="center"/>
          </w:tcPr>
          <w:p w14:paraId="6E8BFEE7" w14:textId="77777777" w:rsidR="00E74C54" w:rsidRPr="009D17F2" w:rsidRDefault="00E74C54" w:rsidP="00E74C54">
            <w:pPr>
              <w:rPr>
                <w:rFonts w:cstheme="minorHAnsi"/>
                <w:sz w:val="24"/>
                <w:szCs w:val="24"/>
              </w:rPr>
            </w:pPr>
            <w:r w:rsidRPr="009D17F2">
              <w:rPr>
                <w:rFonts w:cstheme="minorHAnsi"/>
                <w:sz w:val="24"/>
                <w:szCs w:val="24"/>
                <w:lang w:val="en-US"/>
              </w:rPr>
              <w:t>G: Transparency, Communications, and Data Literacy</w:t>
            </w:r>
          </w:p>
        </w:tc>
        <w:tc>
          <w:tcPr>
            <w:tcW w:w="2781" w:type="dxa"/>
          </w:tcPr>
          <w:p w14:paraId="044416C1" w14:textId="6EAC1A2F" w:rsidR="00E74C54" w:rsidRPr="001B40DF" w:rsidRDefault="001B40DF" w:rsidP="00E74C54">
            <w:pPr>
              <w:jc w:val="center"/>
              <w:rPr>
                <w:rFonts w:cstheme="minorHAnsi"/>
                <w:sz w:val="24"/>
                <w:szCs w:val="24"/>
              </w:rPr>
            </w:pPr>
            <w:r w:rsidRPr="001B40DF">
              <w:rPr>
                <w:rFonts w:cstheme="minorHAnsi"/>
                <w:sz w:val="24"/>
                <w:szCs w:val="24"/>
              </w:rPr>
              <w:t>3</w:t>
            </w:r>
          </w:p>
        </w:tc>
        <w:tc>
          <w:tcPr>
            <w:tcW w:w="2551" w:type="dxa"/>
          </w:tcPr>
          <w:p w14:paraId="0BBEDFC7" w14:textId="0BD4F83E" w:rsidR="00E74C54" w:rsidRPr="009D17F2" w:rsidRDefault="00E74C54" w:rsidP="00E74C54">
            <w:pPr>
              <w:jc w:val="center"/>
              <w:rPr>
                <w:rFonts w:cstheme="minorHAnsi"/>
                <w:sz w:val="24"/>
                <w:szCs w:val="24"/>
              </w:rPr>
            </w:pPr>
            <w:r w:rsidRPr="009D17F2">
              <w:rPr>
                <w:rFonts w:cstheme="minorHAnsi"/>
                <w:sz w:val="24"/>
                <w:szCs w:val="24"/>
              </w:rPr>
              <w:t>8</w:t>
            </w:r>
          </w:p>
        </w:tc>
      </w:tr>
      <w:tr w:rsidR="00E74C54" w:rsidRPr="004511B3" w14:paraId="089E393A" w14:textId="77777777" w:rsidTr="00254326">
        <w:tc>
          <w:tcPr>
            <w:tcW w:w="4018" w:type="dxa"/>
            <w:vAlign w:val="center"/>
          </w:tcPr>
          <w:p w14:paraId="5BA92656" w14:textId="77777777" w:rsidR="00E74C54" w:rsidRPr="009D17F2" w:rsidRDefault="00E74C54" w:rsidP="00E74C54">
            <w:pPr>
              <w:rPr>
                <w:rFonts w:cstheme="minorHAnsi"/>
                <w:sz w:val="24"/>
                <w:szCs w:val="24"/>
                <w:lang w:val="en-US"/>
              </w:rPr>
            </w:pPr>
            <w:r w:rsidRPr="009D17F2">
              <w:rPr>
                <w:rFonts w:cstheme="minorHAnsi"/>
                <w:b/>
                <w:sz w:val="24"/>
                <w:szCs w:val="24"/>
                <w:lang w:val="en-US"/>
              </w:rPr>
              <w:t>TOTAL</w:t>
            </w:r>
          </w:p>
        </w:tc>
        <w:tc>
          <w:tcPr>
            <w:tcW w:w="2781" w:type="dxa"/>
          </w:tcPr>
          <w:p w14:paraId="030CAE64" w14:textId="4948B6A0" w:rsidR="00E74C54" w:rsidRPr="001B40DF" w:rsidRDefault="00E74C54" w:rsidP="00E74C54">
            <w:pPr>
              <w:jc w:val="center"/>
              <w:rPr>
                <w:rFonts w:cstheme="minorHAnsi"/>
                <w:b/>
                <w:sz w:val="24"/>
                <w:szCs w:val="24"/>
              </w:rPr>
            </w:pPr>
            <w:r w:rsidRPr="001B40DF">
              <w:rPr>
                <w:rFonts w:cstheme="minorHAnsi"/>
                <w:b/>
                <w:sz w:val="24"/>
                <w:szCs w:val="24"/>
              </w:rPr>
              <w:t>40</w:t>
            </w:r>
          </w:p>
        </w:tc>
        <w:tc>
          <w:tcPr>
            <w:tcW w:w="2551" w:type="dxa"/>
          </w:tcPr>
          <w:p w14:paraId="033089D0" w14:textId="5FACCBA0" w:rsidR="00E74C54" w:rsidRPr="009D17F2" w:rsidRDefault="00E74C54" w:rsidP="00E74C54">
            <w:pPr>
              <w:jc w:val="center"/>
              <w:rPr>
                <w:rFonts w:cstheme="minorHAnsi"/>
                <w:sz w:val="24"/>
                <w:szCs w:val="24"/>
              </w:rPr>
            </w:pPr>
            <w:r w:rsidRPr="009D17F2">
              <w:rPr>
                <w:rFonts w:cstheme="minorHAnsi"/>
                <w:b/>
                <w:sz w:val="24"/>
                <w:szCs w:val="24"/>
              </w:rPr>
              <w:t>85</w:t>
            </w:r>
          </w:p>
        </w:tc>
      </w:tr>
    </w:tbl>
    <w:p w14:paraId="223A79FA" w14:textId="7A96C597" w:rsidR="002F3900" w:rsidRPr="00C52D22" w:rsidRDefault="00AA6E30" w:rsidP="0003056F">
      <w:pPr>
        <w:pStyle w:val="Heading3"/>
      </w:pPr>
      <w:bookmarkStart w:id="183" w:name="_Toc113372814"/>
      <w:bookmarkStart w:id="184" w:name="_Toc113424705"/>
      <w:bookmarkStart w:id="185" w:name="_Toc113424764"/>
      <w:bookmarkStart w:id="186" w:name="_Toc113424788"/>
      <w:bookmarkStart w:id="187" w:name="_Toc113424812"/>
      <w:bookmarkStart w:id="188" w:name="_Toc113424872"/>
      <w:bookmarkStart w:id="189" w:name="_Toc113424965"/>
      <w:bookmarkStart w:id="190" w:name="_Toc104995158"/>
      <w:bookmarkStart w:id="191" w:name="_Toc105053243"/>
      <w:bookmarkStart w:id="192" w:name="_Toc105054565"/>
      <w:bookmarkStart w:id="193" w:name="_Toc108603503"/>
      <w:bookmarkStart w:id="194" w:name="_Toc108604556"/>
      <w:bookmarkStart w:id="195" w:name="_Toc108605485"/>
      <w:bookmarkStart w:id="196" w:name="_Toc113702908"/>
      <w:bookmarkStart w:id="197" w:name="_Toc113702936"/>
      <w:bookmarkStart w:id="198" w:name="_Toc113710858"/>
      <w:bookmarkStart w:id="199" w:name="_Toc113805535"/>
      <w:bookmarkStart w:id="200" w:name="_Toc113811625"/>
      <w:r w:rsidRPr="00C52D22">
        <w:t>3</w:t>
      </w:r>
      <w:r w:rsidR="0053285F" w:rsidRPr="00C52D22">
        <w:t>.3</w:t>
      </w:r>
      <w:r w:rsidR="0053285F" w:rsidRPr="00C52D22">
        <w:tab/>
      </w:r>
      <w:r w:rsidR="00805BE8" w:rsidRPr="00C52D22">
        <w:t xml:space="preserve">Examples of requirements that </w:t>
      </w:r>
      <w:r w:rsidR="00205CCD">
        <w:t xml:space="preserve">were essential for </w:t>
      </w:r>
      <w:r w:rsidR="00805BE8" w:rsidRPr="00C52D22">
        <w:t>many participants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30B31926" w14:textId="55DF1FC6" w:rsidR="00DB66FD" w:rsidRPr="00C52D22" w:rsidRDefault="00803322" w:rsidP="002F3900">
      <w:pPr>
        <w:rPr>
          <w:sz w:val="24"/>
          <w:szCs w:val="24"/>
        </w:rPr>
      </w:pPr>
      <w:r w:rsidRPr="00C52D22">
        <w:rPr>
          <w:sz w:val="24"/>
          <w:szCs w:val="24"/>
        </w:rPr>
        <w:t>The following</w:t>
      </w:r>
      <w:r w:rsidR="00DB66FD" w:rsidRPr="00C52D22">
        <w:rPr>
          <w:sz w:val="24"/>
          <w:szCs w:val="24"/>
        </w:rPr>
        <w:t xml:space="preserve"> requirements for health data social</w:t>
      </w:r>
      <w:r w:rsidR="009F206F" w:rsidRPr="00C52D22">
        <w:rPr>
          <w:sz w:val="24"/>
          <w:szCs w:val="24"/>
        </w:rPr>
        <w:t xml:space="preserve"> </w:t>
      </w:r>
      <w:r w:rsidR="00DB66FD" w:rsidRPr="00C52D22">
        <w:rPr>
          <w:sz w:val="24"/>
          <w:szCs w:val="24"/>
        </w:rPr>
        <w:t xml:space="preserve">licence </w:t>
      </w:r>
      <w:r w:rsidR="00642935" w:rsidRPr="00C52D22">
        <w:rPr>
          <w:sz w:val="24"/>
          <w:szCs w:val="24"/>
        </w:rPr>
        <w:t xml:space="preserve">are examples of ones that </w:t>
      </w:r>
      <w:r w:rsidR="00675812">
        <w:rPr>
          <w:sz w:val="24"/>
          <w:szCs w:val="24"/>
        </w:rPr>
        <w:t xml:space="preserve">many participants felt </w:t>
      </w:r>
      <w:r w:rsidR="008E0F8E">
        <w:rPr>
          <w:sz w:val="24"/>
          <w:szCs w:val="24"/>
        </w:rPr>
        <w:t>were</w:t>
      </w:r>
      <w:r w:rsidR="00675812">
        <w:rPr>
          <w:sz w:val="24"/>
          <w:szCs w:val="24"/>
        </w:rPr>
        <w:t xml:space="preserve"> essential. Underneath each requirement, we have included text in participants’ own words </w:t>
      </w:r>
      <w:r w:rsidR="008075B4">
        <w:rPr>
          <w:sz w:val="24"/>
          <w:szCs w:val="24"/>
        </w:rPr>
        <w:t xml:space="preserve">to show how </w:t>
      </w:r>
      <w:r w:rsidR="001453A2">
        <w:rPr>
          <w:sz w:val="24"/>
          <w:szCs w:val="24"/>
        </w:rPr>
        <w:t xml:space="preserve">participants articulated the </w:t>
      </w:r>
      <w:r w:rsidR="00675812">
        <w:rPr>
          <w:sz w:val="24"/>
          <w:szCs w:val="24"/>
        </w:rPr>
        <w:t>requirement.</w:t>
      </w:r>
    </w:p>
    <w:p w14:paraId="61D893E7" w14:textId="186ACF8F" w:rsidR="00DB66FD" w:rsidRPr="00C52D22" w:rsidRDefault="00DB66FD" w:rsidP="00DB66FD">
      <w:pPr>
        <w:rPr>
          <w:sz w:val="24"/>
          <w:szCs w:val="24"/>
        </w:rPr>
      </w:pPr>
      <w:r w:rsidRPr="00C52D22">
        <w:rPr>
          <w:b/>
          <w:bCs/>
          <w:sz w:val="24"/>
          <w:szCs w:val="24"/>
        </w:rPr>
        <w:t>There is transparent and plain language, including language that is understandable by the general public (e.g., 8th grade reading level)</w:t>
      </w:r>
      <w:r w:rsidR="00B621AC">
        <w:rPr>
          <w:b/>
          <w:bCs/>
          <w:sz w:val="24"/>
          <w:szCs w:val="24"/>
        </w:rPr>
        <w:t>,</w:t>
      </w:r>
      <w:r w:rsidRPr="00C52D22">
        <w:rPr>
          <w:b/>
          <w:bCs/>
          <w:sz w:val="24"/>
          <w:szCs w:val="24"/>
        </w:rPr>
        <w:t xml:space="preserve"> about who has access to what data and for what purposes throughout the entire data lifecycle (from data collection to dissemination of findings)</w:t>
      </w:r>
      <w:r w:rsidRPr="00C52D22">
        <w:rPr>
          <w:sz w:val="24"/>
          <w:szCs w:val="24"/>
        </w:rPr>
        <w:t>. (8 of 20 participants identified this requirement as being essential)</w:t>
      </w:r>
      <w:r w:rsidR="00B621AC">
        <w:rPr>
          <w:sz w:val="24"/>
          <w:szCs w:val="24"/>
        </w:rPr>
        <w:t>.</w:t>
      </w:r>
      <w:r w:rsidRPr="00C52D22">
        <w:rPr>
          <w:sz w:val="24"/>
          <w:szCs w:val="24"/>
        </w:rPr>
        <w:t xml:space="preserve"> </w:t>
      </w:r>
    </w:p>
    <w:p w14:paraId="4CAF0199" w14:textId="10533769" w:rsidR="00DB66FD" w:rsidRPr="00C52D22" w:rsidRDefault="00DB66FD" w:rsidP="00DB66FD">
      <w:pPr>
        <w:ind w:left="720"/>
        <w:rPr>
          <w:i/>
          <w:iCs/>
          <w:sz w:val="24"/>
          <w:szCs w:val="24"/>
        </w:rPr>
      </w:pPr>
      <w:r w:rsidRPr="00C52D22">
        <w:rPr>
          <w:i/>
          <w:iCs/>
          <w:sz w:val="24"/>
          <w:szCs w:val="24"/>
        </w:rPr>
        <w:t>“</w:t>
      </w:r>
      <w:r w:rsidR="00F30A6F">
        <w:rPr>
          <w:i/>
          <w:iCs/>
          <w:sz w:val="24"/>
          <w:szCs w:val="24"/>
        </w:rPr>
        <w:t>…</w:t>
      </w:r>
      <w:r w:rsidRPr="00C52D22">
        <w:rPr>
          <w:i/>
          <w:iCs/>
          <w:sz w:val="24"/>
          <w:szCs w:val="24"/>
        </w:rPr>
        <w:t>It is important that the purpose of data collection and storing is clear, well communicated and known to all participants, if requested.”</w:t>
      </w:r>
    </w:p>
    <w:p w14:paraId="70DD2E02" w14:textId="77777777" w:rsidR="00DB66FD" w:rsidRPr="00C52D22" w:rsidRDefault="00DB66FD" w:rsidP="00DB66FD">
      <w:pPr>
        <w:ind w:left="720"/>
        <w:rPr>
          <w:i/>
          <w:iCs/>
          <w:sz w:val="24"/>
          <w:szCs w:val="24"/>
        </w:rPr>
      </w:pPr>
      <w:r w:rsidRPr="00C52D22">
        <w:rPr>
          <w:i/>
          <w:iCs/>
          <w:sz w:val="24"/>
          <w:szCs w:val="24"/>
        </w:rPr>
        <w:t>“…the language should be a language everyone can understand – no ACRONYMS. This way all the population could understand and respond.”</w:t>
      </w:r>
    </w:p>
    <w:p w14:paraId="703B045A" w14:textId="54A96941" w:rsidR="00DB66FD" w:rsidRPr="00C52D22" w:rsidRDefault="00DB66FD" w:rsidP="00283E70">
      <w:pPr>
        <w:keepNext/>
        <w:keepLines/>
        <w:rPr>
          <w:sz w:val="24"/>
          <w:szCs w:val="24"/>
        </w:rPr>
      </w:pPr>
      <w:r w:rsidRPr="00C52D22">
        <w:rPr>
          <w:b/>
          <w:bCs/>
          <w:sz w:val="24"/>
          <w:szCs w:val="24"/>
        </w:rPr>
        <w:lastRenderedPageBreak/>
        <w:t>People (and caregivers they authorize) can easily access health data that ha</w:t>
      </w:r>
      <w:r w:rsidR="00CC40A8">
        <w:rPr>
          <w:b/>
          <w:bCs/>
          <w:sz w:val="24"/>
          <w:szCs w:val="24"/>
        </w:rPr>
        <w:t>ve</w:t>
      </w:r>
      <w:r w:rsidRPr="00C52D22">
        <w:rPr>
          <w:b/>
          <w:bCs/>
          <w:sz w:val="24"/>
          <w:szCs w:val="24"/>
        </w:rPr>
        <w:t xml:space="preserve"> been compiled about them in a usable format (e.g., one that can be read by a computer or electronic device) and in a timely manner so that they can make informed decisions about their health and health care. </w:t>
      </w:r>
      <w:r w:rsidRPr="00C52D22">
        <w:rPr>
          <w:sz w:val="24"/>
          <w:szCs w:val="24"/>
        </w:rPr>
        <w:t>(8 of 20 participants identified this requirement as being essential)</w:t>
      </w:r>
      <w:r w:rsidR="00B621AC">
        <w:rPr>
          <w:sz w:val="24"/>
          <w:szCs w:val="24"/>
        </w:rPr>
        <w:t>.</w:t>
      </w:r>
      <w:r w:rsidRPr="00C52D22">
        <w:rPr>
          <w:sz w:val="24"/>
          <w:szCs w:val="24"/>
        </w:rPr>
        <w:t xml:space="preserve"> </w:t>
      </w:r>
    </w:p>
    <w:p w14:paraId="2322D3D4" w14:textId="1F2DF282" w:rsidR="00DB66FD" w:rsidRPr="00C52D22" w:rsidRDefault="00DB66FD" w:rsidP="00283E70">
      <w:pPr>
        <w:keepNext/>
        <w:keepLines/>
        <w:ind w:left="720"/>
        <w:rPr>
          <w:i/>
          <w:iCs/>
          <w:sz w:val="24"/>
          <w:szCs w:val="24"/>
        </w:rPr>
      </w:pPr>
      <w:r w:rsidRPr="00C52D22">
        <w:rPr>
          <w:i/>
          <w:iCs/>
          <w:sz w:val="24"/>
          <w:szCs w:val="24"/>
        </w:rPr>
        <w:t xml:space="preserve">“That the individual’s information is available to patients or their caregivers, preferably in the official language of their choice, or a reasonable accommodation thereof. Patients need improved access to their own information, in order to facilitate consent and </w:t>
      </w:r>
      <w:r w:rsidR="00953769">
        <w:rPr>
          <w:i/>
          <w:iCs/>
          <w:sz w:val="24"/>
          <w:szCs w:val="24"/>
        </w:rPr>
        <w:t>healthcare</w:t>
      </w:r>
      <w:r w:rsidRPr="00C52D22">
        <w:rPr>
          <w:i/>
          <w:iCs/>
          <w:sz w:val="24"/>
          <w:szCs w:val="24"/>
        </w:rPr>
        <w:t xml:space="preserve"> decisions.”</w:t>
      </w:r>
    </w:p>
    <w:p w14:paraId="0A252B7C" w14:textId="77777777" w:rsidR="00DB66FD" w:rsidRPr="00C52D22" w:rsidRDefault="00DB66FD" w:rsidP="00283E70">
      <w:pPr>
        <w:keepNext/>
        <w:keepLines/>
        <w:ind w:left="720"/>
        <w:rPr>
          <w:i/>
          <w:iCs/>
          <w:sz w:val="24"/>
          <w:szCs w:val="24"/>
        </w:rPr>
      </w:pPr>
      <w:r w:rsidRPr="00C52D22">
        <w:rPr>
          <w:i/>
          <w:iCs/>
          <w:sz w:val="24"/>
          <w:szCs w:val="24"/>
        </w:rPr>
        <w:t>“Ensure the individual has access to their own data. This includes offering computers and assistance, for example, for people who do not have them, but also ensuring that the platform where the data is hosted is accessible (language, visual impairments, etc.)”</w:t>
      </w:r>
    </w:p>
    <w:p w14:paraId="4F01E1C1" w14:textId="0237C752" w:rsidR="00DB66FD" w:rsidRPr="00C52D22" w:rsidRDefault="00DB66FD" w:rsidP="00F17145">
      <w:pPr>
        <w:keepNext/>
        <w:keepLines/>
        <w:rPr>
          <w:sz w:val="24"/>
          <w:szCs w:val="24"/>
        </w:rPr>
      </w:pPr>
      <w:r w:rsidRPr="00C52D22">
        <w:rPr>
          <w:b/>
          <w:bCs/>
          <w:sz w:val="24"/>
          <w:szCs w:val="24"/>
        </w:rPr>
        <w:t>Health data are held by organizations that are seen as trustworthy by the people and organizations that contribute data to them.</w:t>
      </w:r>
      <w:r w:rsidRPr="00C52D22">
        <w:rPr>
          <w:sz w:val="24"/>
          <w:szCs w:val="24"/>
        </w:rPr>
        <w:t xml:space="preserve"> (8 of 20 participants identified this requirement as being essential)</w:t>
      </w:r>
      <w:r w:rsidR="00B621AC">
        <w:rPr>
          <w:sz w:val="24"/>
          <w:szCs w:val="24"/>
        </w:rPr>
        <w:t>.</w:t>
      </w:r>
      <w:r w:rsidRPr="00C52D22">
        <w:rPr>
          <w:sz w:val="24"/>
          <w:szCs w:val="24"/>
        </w:rPr>
        <w:t xml:space="preserve"> </w:t>
      </w:r>
    </w:p>
    <w:p w14:paraId="163E7B50" w14:textId="77777777" w:rsidR="00DB66FD" w:rsidRPr="00C52D22" w:rsidRDefault="00DB66FD" w:rsidP="00F17145">
      <w:pPr>
        <w:keepNext/>
        <w:keepLines/>
        <w:ind w:left="720"/>
        <w:rPr>
          <w:i/>
          <w:iCs/>
          <w:sz w:val="24"/>
          <w:szCs w:val="24"/>
        </w:rPr>
      </w:pPr>
      <w:r w:rsidRPr="00C52D22">
        <w:rPr>
          <w:i/>
          <w:iCs/>
          <w:sz w:val="24"/>
          <w:szCs w:val="24"/>
        </w:rPr>
        <w:t>“Accountability - To build trust with the populations who would give up health data. The entities who collect and use health data should be held accountable for how these data are used.”</w:t>
      </w:r>
    </w:p>
    <w:p w14:paraId="39C3E07D" w14:textId="3FCC0E3E" w:rsidR="00805BE8" w:rsidRPr="00C52D22" w:rsidRDefault="00AA6E30" w:rsidP="00187D9A">
      <w:pPr>
        <w:pStyle w:val="Heading3"/>
      </w:pPr>
      <w:bookmarkStart w:id="201" w:name="_Toc104995159"/>
      <w:bookmarkStart w:id="202" w:name="_Toc105053244"/>
      <w:bookmarkStart w:id="203" w:name="_Toc105054566"/>
      <w:bookmarkStart w:id="204" w:name="_Toc108603504"/>
      <w:bookmarkStart w:id="205" w:name="_Toc108604557"/>
      <w:bookmarkStart w:id="206" w:name="_Toc108605486"/>
      <w:bookmarkStart w:id="207" w:name="_Toc113424706"/>
      <w:bookmarkStart w:id="208" w:name="_Toc113424765"/>
      <w:bookmarkStart w:id="209" w:name="_Toc113424789"/>
      <w:bookmarkStart w:id="210" w:name="_Toc113424813"/>
      <w:bookmarkStart w:id="211" w:name="_Toc113424873"/>
      <w:bookmarkStart w:id="212" w:name="_Toc113424966"/>
      <w:bookmarkStart w:id="213" w:name="_Toc113372697"/>
      <w:bookmarkStart w:id="214" w:name="_Toc113372815"/>
      <w:bookmarkStart w:id="215" w:name="_Toc113702909"/>
      <w:bookmarkStart w:id="216" w:name="_Toc113702937"/>
      <w:bookmarkStart w:id="217" w:name="_Toc113710859"/>
      <w:bookmarkStart w:id="218" w:name="_Toc113805536"/>
      <w:bookmarkStart w:id="219" w:name="_Toc113811626"/>
      <w:r w:rsidRPr="00C52D22">
        <w:t>3</w:t>
      </w:r>
      <w:r w:rsidR="0053285F" w:rsidRPr="00C52D22">
        <w:t>.4</w:t>
      </w:r>
      <w:r w:rsidR="0053285F" w:rsidRPr="00C52D22">
        <w:tab/>
      </w:r>
      <w:r w:rsidR="00805BE8" w:rsidRPr="00C52D22">
        <w:t xml:space="preserve">Examples of </w:t>
      </w:r>
      <w:r w:rsidR="00205CCD">
        <w:t xml:space="preserve">minority views on essential </w:t>
      </w:r>
      <w:r w:rsidR="00805BE8" w:rsidRPr="00C52D22">
        <w:t>requirements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A910A15" w14:textId="629C927F" w:rsidR="00DB66FD" w:rsidRDefault="00DB66FD" w:rsidP="00DB66FD">
      <w:pPr>
        <w:rPr>
          <w:sz w:val="24"/>
        </w:rPr>
      </w:pPr>
      <w:r w:rsidRPr="00C52D22">
        <w:rPr>
          <w:sz w:val="24"/>
        </w:rPr>
        <w:t xml:space="preserve">The inclusive design approach </w:t>
      </w:r>
      <w:r w:rsidR="00CE1B13">
        <w:rPr>
          <w:sz w:val="24"/>
        </w:rPr>
        <w:t xml:space="preserve">that we used </w:t>
      </w:r>
      <w:r w:rsidRPr="00C52D22">
        <w:rPr>
          <w:sz w:val="24"/>
        </w:rPr>
        <w:t>increased the diversity of views captured</w:t>
      </w:r>
      <w:r w:rsidR="002B3E3F">
        <w:rPr>
          <w:sz w:val="24"/>
        </w:rPr>
        <w:t xml:space="preserve"> and allowed us to identify views and </w:t>
      </w:r>
      <w:r w:rsidR="002B3E3F" w:rsidRPr="003025CB">
        <w:rPr>
          <w:sz w:val="24"/>
        </w:rPr>
        <w:t xml:space="preserve">requirements that were not present, or </w:t>
      </w:r>
      <w:r w:rsidR="00CA722E" w:rsidRPr="003025CB">
        <w:rPr>
          <w:sz w:val="24"/>
        </w:rPr>
        <w:t>emphasized</w:t>
      </w:r>
      <w:r w:rsidR="007853FD" w:rsidRPr="003025CB">
        <w:rPr>
          <w:sz w:val="24"/>
        </w:rPr>
        <w:t xml:space="preserve"> as strongly</w:t>
      </w:r>
      <w:r w:rsidR="00F90A37" w:rsidRPr="003025CB">
        <w:rPr>
          <w:sz w:val="24"/>
        </w:rPr>
        <w:t>,</w:t>
      </w:r>
      <w:r w:rsidR="007853FD" w:rsidRPr="003025CB">
        <w:rPr>
          <w:sz w:val="24"/>
        </w:rPr>
        <w:t xml:space="preserve"> in previous studies and </w:t>
      </w:r>
      <w:r w:rsidR="002E029C">
        <w:rPr>
          <w:sz w:val="24"/>
        </w:rPr>
        <w:t>report</w:t>
      </w:r>
      <w:r w:rsidR="007853FD" w:rsidRPr="003025CB">
        <w:rPr>
          <w:sz w:val="24"/>
        </w:rPr>
        <w:t>s</w:t>
      </w:r>
      <w:r w:rsidRPr="003025CB">
        <w:rPr>
          <w:sz w:val="24"/>
        </w:rPr>
        <w:t xml:space="preserve">. </w:t>
      </w:r>
      <w:r w:rsidR="00205CCD" w:rsidRPr="003025CB">
        <w:rPr>
          <w:sz w:val="24"/>
        </w:rPr>
        <w:t>These minority views are important</w:t>
      </w:r>
      <w:r w:rsidR="00CB6955" w:rsidRPr="003025CB">
        <w:rPr>
          <w:sz w:val="24"/>
        </w:rPr>
        <w:t xml:space="preserve"> </w:t>
      </w:r>
      <w:r w:rsidR="00F30A6F">
        <w:rPr>
          <w:sz w:val="24"/>
          <w:szCs w:val="24"/>
        </w:rPr>
        <w:t>because</w:t>
      </w:r>
      <w:r w:rsidR="00CB6955" w:rsidRPr="003025CB">
        <w:rPr>
          <w:sz w:val="24"/>
          <w:szCs w:val="24"/>
        </w:rPr>
        <w:t xml:space="preserve"> people who hold minority views are </w:t>
      </w:r>
      <w:r w:rsidR="00F30A6F">
        <w:rPr>
          <w:sz w:val="24"/>
          <w:szCs w:val="24"/>
        </w:rPr>
        <w:t xml:space="preserve">often not </w:t>
      </w:r>
      <w:r w:rsidR="00CB6955" w:rsidRPr="003025CB">
        <w:rPr>
          <w:sz w:val="24"/>
          <w:szCs w:val="24"/>
        </w:rPr>
        <w:t>well served by the status quo</w:t>
      </w:r>
      <w:r w:rsidR="000336A5">
        <w:rPr>
          <w:sz w:val="24"/>
          <w:szCs w:val="24"/>
        </w:rPr>
        <w:t xml:space="preserve">. </w:t>
      </w:r>
      <w:r w:rsidR="00CB6955" w:rsidRPr="003025CB">
        <w:rPr>
          <w:sz w:val="24"/>
          <w:szCs w:val="24"/>
        </w:rPr>
        <w:t xml:space="preserve"> </w:t>
      </w:r>
      <w:r w:rsidR="000336A5">
        <w:rPr>
          <w:sz w:val="24"/>
          <w:szCs w:val="24"/>
        </w:rPr>
        <w:t>In addition, they may</w:t>
      </w:r>
      <w:r w:rsidR="000336A5" w:rsidRPr="003025CB">
        <w:rPr>
          <w:sz w:val="24"/>
          <w:szCs w:val="24"/>
        </w:rPr>
        <w:t xml:space="preserve"> </w:t>
      </w:r>
      <w:r w:rsidR="00F30A6F">
        <w:rPr>
          <w:sz w:val="24"/>
          <w:szCs w:val="24"/>
        </w:rPr>
        <w:t xml:space="preserve">hold </w:t>
      </w:r>
      <w:r w:rsidR="00CB6955" w:rsidRPr="003025CB">
        <w:rPr>
          <w:sz w:val="24"/>
          <w:szCs w:val="24"/>
        </w:rPr>
        <w:t>knowledge that is essential to design processes, policies and products that work for the entire population, not just the majority</w:t>
      </w:r>
      <w:r w:rsidR="00CB6955" w:rsidRPr="003025CB">
        <w:rPr>
          <w:sz w:val="24"/>
        </w:rPr>
        <w:t xml:space="preserve">. </w:t>
      </w:r>
      <w:r w:rsidR="00806D6E" w:rsidRPr="00C52D22">
        <w:rPr>
          <w:sz w:val="24"/>
        </w:rPr>
        <w:t>Examples of</w:t>
      </w:r>
      <w:r w:rsidR="00F90A37" w:rsidRPr="00C52D22">
        <w:rPr>
          <w:sz w:val="24"/>
        </w:rPr>
        <w:t xml:space="preserve"> these less commonly identified </w:t>
      </w:r>
      <w:r w:rsidRPr="00C52D22">
        <w:rPr>
          <w:sz w:val="24"/>
        </w:rPr>
        <w:t xml:space="preserve">requirements for health data social licence are </w:t>
      </w:r>
      <w:r w:rsidR="002B3E3F">
        <w:rPr>
          <w:sz w:val="24"/>
        </w:rPr>
        <w:t>provided</w:t>
      </w:r>
      <w:r w:rsidR="002B3E3F" w:rsidRPr="00C52D22">
        <w:rPr>
          <w:sz w:val="24"/>
        </w:rPr>
        <w:t xml:space="preserve"> </w:t>
      </w:r>
      <w:r w:rsidRPr="00C52D22">
        <w:rPr>
          <w:sz w:val="24"/>
        </w:rPr>
        <w:t>below</w:t>
      </w:r>
      <w:r w:rsidR="00CA722E" w:rsidRPr="00C52D22">
        <w:rPr>
          <w:sz w:val="24"/>
        </w:rPr>
        <w:t>, along with related participant quotes.</w:t>
      </w:r>
      <w:r w:rsidRPr="00C52D22">
        <w:rPr>
          <w:sz w:val="24"/>
        </w:rPr>
        <w:t xml:space="preserve"> </w:t>
      </w:r>
    </w:p>
    <w:p w14:paraId="593CBCF7" w14:textId="30E64D10" w:rsidR="00DB66FD" w:rsidRPr="00C52D22" w:rsidRDefault="00DB66FD" w:rsidP="00DB66FD">
      <w:pPr>
        <w:spacing w:after="100"/>
        <w:rPr>
          <w:sz w:val="24"/>
          <w:szCs w:val="24"/>
        </w:rPr>
      </w:pPr>
      <w:r w:rsidRPr="00C52D22">
        <w:rPr>
          <w:b/>
          <w:bCs/>
          <w:sz w:val="24"/>
          <w:szCs w:val="24"/>
        </w:rPr>
        <w:t xml:space="preserve">Health data controls, safeguards, and regulations are proportionate and not so burdensome that they prevent benefits from being obtained from health data. </w:t>
      </w:r>
      <w:r w:rsidRPr="00C52D22">
        <w:rPr>
          <w:sz w:val="24"/>
          <w:szCs w:val="24"/>
        </w:rPr>
        <w:t>(3 of 20 participants identified this requirement as being essential)</w:t>
      </w:r>
      <w:r w:rsidR="00B621AC">
        <w:rPr>
          <w:sz w:val="24"/>
          <w:szCs w:val="24"/>
        </w:rPr>
        <w:t>.</w:t>
      </w:r>
    </w:p>
    <w:p w14:paraId="111EB9F8" w14:textId="2568EC0A" w:rsidR="00DB66FD" w:rsidRPr="00C52D22" w:rsidRDefault="00DB66FD" w:rsidP="00DB66FD">
      <w:pPr>
        <w:spacing w:after="100"/>
        <w:ind w:left="720"/>
        <w:rPr>
          <w:i/>
          <w:iCs/>
          <w:sz w:val="24"/>
          <w:szCs w:val="24"/>
        </w:rPr>
      </w:pPr>
      <w:r w:rsidRPr="00C52D22">
        <w:rPr>
          <w:i/>
          <w:iCs/>
          <w:sz w:val="24"/>
          <w:szCs w:val="24"/>
        </w:rPr>
        <w:t>“The problems of groups that have suffered discrimination will not be solved by making it more difficult to use their data</w:t>
      </w:r>
      <w:r w:rsidR="00654DB1" w:rsidRPr="00C52D22">
        <w:rPr>
          <w:i/>
          <w:iCs/>
          <w:sz w:val="24"/>
          <w:szCs w:val="24"/>
        </w:rPr>
        <w:t xml:space="preserve"> [if there are too many controls]</w:t>
      </w:r>
      <w:r w:rsidRPr="00C52D22">
        <w:rPr>
          <w:i/>
          <w:iCs/>
          <w:sz w:val="24"/>
          <w:szCs w:val="24"/>
        </w:rPr>
        <w:t>. Their well-being could even be harmed.”</w:t>
      </w:r>
    </w:p>
    <w:p w14:paraId="62D11D5B" w14:textId="77777777" w:rsidR="00DB66FD" w:rsidRPr="00C52D22" w:rsidRDefault="00DB66FD" w:rsidP="00DB66FD">
      <w:pPr>
        <w:ind w:left="720"/>
        <w:rPr>
          <w:i/>
          <w:iCs/>
          <w:sz w:val="24"/>
          <w:szCs w:val="24"/>
        </w:rPr>
      </w:pPr>
      <w:r w:rsidRPr="00C52D22">
        <w:rPr>
          <w:i/>
          <w:iCs/>
          <w:sz w:val="24"/>
          <w:szCs w:val="24"/>
        </w:rPr>
        <w:t>“We need to liberate this data for academics and government but also private sector especially when it comes to deidentified information.”</w:t>
      </w:r>
    </w:p>
    <w:p w14:paraId="0B602A17" w14:textId="0E27221B" w:rsidR="00DB66FD" w:rsidRPr="00C52D22" w:rsidRDefault="00DB66FD" w:rsidP="00283E70">
      <w:pPr>
        <w:keepNext/>
        <w:keepLines/>
        <w:spacing w:after="100"/>
        <w:rPr>
          <w:sz w:val="24"/>
          <w:szCs w:val="24"/>
        </w:rPr>
      </w:pPr>
      <w:r w:rsidRPr="00C52D22">
        <w:rPr>
          <w:b/>
          <w:bCs/>
          <w:sz w:val="24"/>
          <w:szCs w:val="24"/>
        </w:rPr>
        <w:lastRenderedPageBreak/>
        <w:t>Organizations involved in data collection, processing, use, or re-use are respectful, polite, and welcoming when contacted by patients and members of the public. (</w:t>
      </w:r>
      <w:r w:rsidRPr="00C52D22">
        <w:rPr>
          <w:sz w:val="24"/>
          <w:szCs w:val="24"/>
        </w:rPr>
        <w:t>1 of 20 participants identified this requirement as being essential)</w:t>
      </w:r>
      <w:r w:rsidR="00B621AC">
        <w:rPr>
          <w:sz w:val="24"/>
          <w:szCs w:val="24"/>
        </w:rPr>
        <w:t>.</w:t>
      </w:r>
    </w:p>
    <w:p w14:paraId="033B7BC4" w14:textId="7FC70CD0" w:rsidR="00DB66FD" w:rsidRPr="00C52D22" w:rsidRDefault="00DB66FD" w:rsidP="00283E70">
      <w:pPr>
        <w:keepNext/>
        <w:keepLines/>
        <w:ind w:left="720"/>
        <w:rPr>
          <w:i/>
          <w:iCs/>
          <w:sz w:val="24"/>
          <w:szCs w:val="24"/>
        </w:rPr>
      </w:pPr>
      <w:r w:rsidRPr="00C52D22">
        <w:rPr>
          <w:i/>
          <w:iCs/>
          <w:sz w:val="24"/>
          <w:szCs w:val="24"/>
        </w:rPr>
        <w:t xml:space="preserve">“Respectful, polite and welcoming... will have ALL the </w:t>
      </w:r>
      <w:r w:rsidR="002F7B2A" w:rsidRPr="00C52D22">
        <w:rPr>
          <w:i/>
          <w:iCs/>
          <w:sz w:val="24"/>
          <w:szCs w:val="24"/>
        </w:rPr>
        <w:t>[population]</w:t>
      </w:r>
      <w:r w:rsidRPr="00C52D22">
        <w:rPr>
          <w:i/>
          <w:iCs/>
          <w:sz w:val="24"/>
          <w:szCs w:val="24"/>
        </w:rPr>
        <w:t xml:space="preserve"> comfortable and at ease. It’s scary enough meeting new people and discussing lived experiences, make the surroundings warm, inviting”</w:t>
      </w:r>
    </w:p>
    <w:p w14:paraId="1C07C5A7" w14:textId="0E540E46" w:rsidR="00DB66FD" w:rsidRPr="001B40DF" w:rsidRDefault="00DB66FD" w:rsidP="00C828AC">
      <w:pPr>
        <w:rPr>
          <w:b/>
          <w:bCs/>
          <w:sz w:val="24"/>
          <w:szCs w:val="24"/>
        </w:rPr>
      </w:pPr>
      <w:r w:rsidRPr="00C52D22">
        <w:rPr>
          <w:b/>
          <w:bCs/>
          <w:sz w:val="24"/>
          <w:szCs w:val="24"/>
        </w:rPr>
        <w:t xml:space="preserve">When data are collected at the point of </w:t>
      </w:r>
      <w:r w:rsidR="00953769">
        <w:rPr>
          <w:b/>
          <w:bCs/>
          <w:sz w:val="24"/>
          <w:szCs w:val="24"/>
        </w:rPr>
        <w:t>healthcare</w:t>
      </w:r>
      <w:r w:rsidRPr="00C52D22">
        <w:rPr>
          <w:b/>
          <w:bCs/>
          <w:sz w:val="24"/>
          <w:szCs w:val="24"/>
        </w:rPr>
        <w:t xml:space="preserve"> service delivery, communications address and mitigate the risk that patients (who are often in a vulnerable state) feel pressured to provide consent or agree to data access. </w:t>
      </w:r>
      <w:r w:rsidRPr="00C52D22">
        <w:rPr>
          <w:sz w:val="24"/>
          <w:szCs w:val="24"/>
        </w:rPr>
        <w:t>(2 of 20 participants identified this requirement as being essential)</w:t>
      </w:r>
      <w:r w:rsidR="00B621AC">
        <w:rPr>
          <w:sz w:val="24"/>
          <w:szCs w:val="24"/>
        </w:rPr>
        <w:t>.</w:t>
      </w:r>
    </w:p>
    <w:p w14:paraId="71365B07" w14:textId="7D4B60BE" w:rsidR="00DB66FD" w:rsidRPr="00C52D22" w:rsidRDefault="00DB66FD" w:rsidP="00DB66FD">
      <w:pPr>
        <w:spacing w:after="100"/>
        <w:ind w:left="720"/>
        <w:rPr>
          <w:i/>
          <w:iCs/>
        </w:rPr>
      </w:pPr>
      <w:bookmarkStart w:id="220" w:name="_Int_poXKsxcR"/>
      <w:r w:rsidRPr="00C52D22">
        <w:rPr>
          <w:i/>
          <w:iCs/>
          <w:sz w:val="24"/>
          <w:szCs w:val="24"/>
        </w:rPr>
        <w:t>“Individuals seeking health care often find themselves in a physically or emotionally vulnerable situation. Trust and confidentiality is key to be able to expose that vulnerability and comply with care.”</w:t>
      </w:r>
      <w:bookmarkEnd w:id="220"/>
    </w:p>
    <w:p w14:paraId="4D4F17B3" w14:textId="6020AD79" w:rsidR="00DB66FD" w:rsidRPr="00C52D22" w:rsidRDefault="00DB66FD" w:rsidP="00DB66FD">
      <w:pPr>
        <w:ind w:left="720"/>
        <w:rPr>
          <w:i/>
          <w:iCs/>
          <w:sz w:val="24"/>
          <w:szCs w:val="24"/>
        </w:rPr>
      </w:pPr>
      <w:r w:rsidRPr="00C52D22">
        <w:rPr>
          <w:i/>
          <w:iCs/>
          <w:sz w:val="24"/>
          <w:szCs w:val="24"/>
        </w:rPr>
        <w:t xml:space="preserve">[Patients are] </w:t>
      </w:r>
      <w:r w:rsidR="003877C1">
        <w:rPr>
          <w:i/>
          <w:iCs/>
          <w:sz w:val="24"/>
          <w:szCs w:val="24"/>
        </w:rPr>
        <w:t>“</w:t>
      </w:r>
      <w:r w:rsidRPr="00C52D22">
        <w:rPr>
          <w:i/>
          <w:iCs/>
          <w:sz w:val="24"/>
          <w:szCs w:val="24"/>
        </w:rPr>
        <w:t>already feeling vulnerable when being treated for care and won’t say no when asked for consent. Acknowledging this vulnerability is important, especially for those who aren’t well educated.”</w:t>
      </w:r>
    </w:p>
    <w:p w14:paraId="6E4D071D" w14:textId="49B44A34" w:rsidR="00DB66FD" w:rsidRPr="00C52D22" w:rsidRDefault="00DB66FD" w:rsidP="00DB66FD">
      <w:pPr>
        <w:spacing w:after="100"/>
        <w:rPr>
          <w:sz w:val="24"/>
          <w:szCs w:val="24"/>
        </w:rPr>
      </w:pPr>
      <w:r w:rsidRPr="00C52D22">
        <w:rPr>
          <w:b/>
          <w:bCs/>
          <w:sz w:val="24"/>
          <w:szCs w:val="24"/>
        </w:rPr>
        <w:t>Unless there is expressed consent for data sharing outside of Canada, health data are stored in Canadian jurisdictions and stay within Canadian law.</w:t>
      </w:r>
      <w:r w:rsidRPr="00C52D22">
        <w:rPr>
          <w:sz w:val="24"/>
          <w:szCs w:val="24"/>
        </w:rPr>
        <w:t xml:space="preserve"> (2 of 20 participants identified this requirement as being essential)</w:t>
      </w:r>
      <w:r w:rsidR="00B621AC">
        <w:rPr>
          <w:sz w:val="24"/>
          <w:szCs w:val="24"/>
        </w:rPr>
        <w:t>.</w:t>
      </w:r>
    </w:p>
    <w:p w14:paraId="1C16E29E" w14:textId="03C4AFC7" w:rsidR="00DB66FD" w:rsidRDefault="00DB66FD" w:rsidP="00DB66FD">
      <w:pPr>
        <w:ind w:left="720"/>
        <w:rPr>
          <w:i/>
          <w:iCs/>
          <w:sz w:val="24"/>
          <w:szCs w:val="24"/>
        </w:rPr>
      </w:pPr>
      <w:r w:rsidRPr="00C52D22">
        <w:rPr>
          <w:i/>
          <w:iCs/>
          <w:sz w:val="24"/>
          <w:szCs w:val="24"/>
        </w:rPr>
        <w:t>“To build trust in the safety of our health data because the control of health data for those living in Canada is subject to our laws and regulations and not outside our legal control.”</w:t>
      </w:r>
    </w:p>
    <w:p w14:paraId="6D75DB23" w14:textId="093025F8" w:rsidR="00031B76" w:rsidRDefault="003877C1" w:rsidP="00031B76">
      <w:pPr>
        <w:rPr>
          <w:sz w:val="24"/>
        </w:rPr>
      </w:pPr>
      <w:r>
        <w:rPr>
          <w:sz w:val="24"/>
        </w:rPr>
        <w:t>A word cloud (</w:t>
      </w:r>
      <w:r w:rsidR="00031B76">
        <w:rPr>
          <w:sz w:val="24"/>
        </w:rPr>
        <w:t>Figure 2</w:t>
      </w:r>
      <w:r>
        <w:rPr>
          <w:sz w:val="24"/>
        </w:rPr>
        <w:t>) was prepared to visualize minority</w:t>
      </w:r>
      <w:r w:rsidR="00031B76">
        <w:rPr>
          <w:sz w:val="24"/>
        </w:rPr>
        <w:t xml:space="preserve"> views that were only expressed once or twice in the process. Comparing it to the word cloud on the title page illustrates how minority views were different than the overall </w:t>
      </w:r>
      <w:r>
        <w:rPr>
          <w:sz w:val="24"/>
        </w:rPr>
        <w:t>and</w:t>
      </w:r>
      <w:r w:rsidR="00031B76">
        <w:rPr>
          <w:sz w:val="24"/>
        </w:rPr>
        <w:t xml:space="preserve"> majority views that were expressed.</w:t>
      </w:r>
    </w:p>
    <w:p w14:paraId="5D64AFDF" w14:textId="6F3C1999" w:rsidR="00031B76" w:rsidRPr="00C828AC" w:rsidRDefault="00031B76" w:rsidP="00031B76">
      <w:pPr>
        <w:rPr>
          <w:sz w:val="24"/>
          <w:u w:val="single"/>
        </w:rPr>
      </w:pPr>
      <w:r w:rsidRPr="00C828AC">
        <w:rPr>
          <w:sz w:val="24"/>
          <w:u w:val="single"/>
        </w:rPr>
        <w:t>Figure 2: Word cloud presentation of ideas that were expressed by one or two participants</w:t>
      </w:r>
    </w:p>
    <w:p w14:paraId="132F55DD" w14:textId="7477D434" w:rsidR="00373F76" w:rsidRPr="00C52D22" w:rsidRDefault="00031B76" w:rsidP="002E029C">
      <w:pPr>
        <w:jc w:val="center"/>
        <w:rPr>
          <w:i/>
          <w:iCs/>
          <w:sz w:val="24"/>
          <w:szCs w:val="24"/>
        </w:rPr>
      </w:pPr>
      <w:bookmarkStart w:id="221" w:name="_GoBack"/>
      <w:r w:rsidRPr="000E7A41">
        <w:rPr>
          <w:i/>
          <w:iCs/>
          <w:noProof/>
          <w:sz w:val="24"/>
          <w:szCs w:val="24"/>
          <w:lang w:val="en-US"/>
        </w:rPr>
        <w:drawing>
          <wp:inline distT="0" distB="0" distL="0" distR="0" wp14:anchorId="130F9AF9" wp14:editId="578795EE">
            <wp:extent cx="5295716" cy="2148840"/>
            <wp:effectExtent l="0" t="0" r="635" b="3810"/>
            <wp:docPr id="2" name="Picture 4" descr="Minority word cloud&#10;&#10;This images shows words and phrases for all requirements seen as essential for health data social licence expressed one or two times in participants' own words. &#10;&#10;As an alternative to this visual presentation which uses larger fonts for the words and phrases expressed most frequently, section E4 presents the frequency of each coded words and phrases.&#10;&#10;https://www.hdrn.ca/sites/default/files/2022-11/Appendix%20E%20-%20Social%20licence%20for%20uses%20of%20health%20data%20-%20HDRN%20Canada%20%26%20GRIIS.docx">
              <a:extLst xmlns:a="http://schemas.openxmlformats.org/drawingml/2006/main">
                <a:ext uri="{FF2B5EF4-FFF2-40B4-BE49-F238E27FC236}">
                  <a16:creationId xmlns:a16="http://schemas.microsoft.com/office/drawing/2014/main" id="{95AFBF72-2A63-9231-12F5-A80113C7C1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a:extLst>
                        <a:ext uri="{FF2B5EF4-FFF2-40B4-BE49-F238E27FC236}">
                          <a16:creationId xmlns:a16="http://schemas.microsoft.com/office/drawing/2014/main" id="{95AFBF72-2A63-9231-12F5-A80113C7C1B4}"/>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29142" cy="2162403"/>
                    </a:xfrm>
                    <a:prstGeom prst="rect">
                      <a:avLst/>
                    </a:prstGeom>
                  </pic:spPr>
                </pic:pic>
              </a:graphicData>
            </a:graphic>
          </wp:inline>
        </w:drawing>
      </w:r>
      <w:bookmarkEnd w:id="221"/>
    </w:p>
    <w:p w14:paraId="523B0784" w14:textId="77777777" w:rsidR="00911838" w:rsidRDefault="00911838">
      <w:pPr>
        <w:rPr>
          <w:rFonts w:asciiTheme="majorHAnsi" w:eastAsiaTheme="majorEastAsia" w:hAnsiTheme="majorHAnsi" w:cstheme="majorBidi"/>
          <w:color w:val="1F3763" w:themeColor="accent1" w:themeShade="7F"/>
          <w:sz w:val="28"/>
          <w:szCs w:val="24"/>
        </w:rPr>
      </w:pPr>
      <w:bookmarkStart w:id="222" w:name="_Toc104995160"/>
      <w:bookmarkStart w:id="223" w:name="_Toc105053245"/>
      <w:bookmarkStart w:id="224" w:name="_Toc105054567"/>
      <w:bookmarkStart w:id="225" w:name="_Toc108603505"/>
      <w:bookmarkStart w:id="226" w:name="_Toc108604558"/>
      <w:bookmarkStart w:id="227" w:name="_Toc108605487"/>
      <w:bookmarkStart w:id="228" w:name="_Toc113372698"/>
      <w:bookmarkStart w:id="229" w:name="_Toc113372816"/>
      <w:bookmarkStart w:id="230" w:name="_Toc113424707"/>
      <w:bookmarkStart w:id="231" w:name="_Toc113424766"/>
      <w:bookmarkStart w:id="232" w:name="_Toc113424790"/>
      <w:bookmarkStart w:id="233" w:name="_Toc113424814"/>
      <w:bookmarkStart w:id="234" w:name="_Toc113424874"/>
      <w:bookmarkStart w:id="235" w:name="_Toc113424967"/>
      <w:bookmarkStart w:id="236" w:name="_Toc113702910"/>
      <w:bookmarkStart w:id="237" w:name="_Toc113702938"/>
      <w:bookmarkStart w:id="238" w:name="_Toc113710860"/>
      <w:r>
        <w:br w:type="page"/>
      </w:r>
    </w:p>
    <w:p w14:paraId="7E3DE97E" w14:textId="2D4885A0" w:rsidR="00805BE8" w:rsidRPr="00C52D22" w:rsidRDefault="00AA6E30" w:rsidP="00187D9A">
      <w:pPr>
        <w:pStyle w:val="Heading3"/>
      </w:pPr>
      <w:bookmarkStart w:id="239" w:name="_Toc113805537"/>
      <w:bookmarkStart w:id="240" w:name="_Toc113811627"/>
      <w:r w:rsidRPr="00C52D22">
        <w:lastRenderedPageBreak/>
        <w:t>3</w:t>
      </w:r>
      <w:r w:rsidR="0053285F" w:rsidRPr="00C52D22">
        <w:t>.5</w:t>
      </w:r>
      <w:r w:rsidR="0053285F" w:rsidRPr="00C52D22">
        <w:tab/>
      </w:r>
      <w:r w:rsidR="00805BE8" w:rsidRPr="00C52D22">
        <w:t xml:space="preserve">Examples of requirements that participants disagreed </w:t>
      </w:r>
      <w:bookmarkEnd w:id="222"/>
      <w:bookmarkEnd w:id="223"/>
      <w:bookmarkEnd w:id="224"/>
      <w:bookmarkEnd w:id="225"/>
      <w:bookmarkEnd w:id="226"/>
      <w:bookmarkEnd w:id="227"/>
      <w:bookmarkEnd w:id="228"/>
      <w:bookmarkEnd w:id="229"/>
      <w:r w:rsidR="00901D81">
        <w:t>about</w:t>
      </w:r>
      <w:bookmarkEnd w:id="230"/>
      <w:bookmarkEnd w:id="231"/>
      <w:bookmarkEnd w:id="232"/>
      <w:bookmarkEnd w:id="233"/>
      <w:bookmarkEnd w:id="234"/>
      <w:bookmarkEnd w:id="235"/>
      <w:bookmarkEnd w:id="236"/>
      <w:bookmarkEnd w:id="237"/>
      <w:bookmarkEnd w:id="238"/>
      <w:bookmarkEnd w:id="239"/>
      <w:bookmarkEnd w:id="240"/>
    </w:p>
    <w:p w14:paraId="77B04556" w14:textId="6016782D" w:rsidR="00DF1406" w:rsidRPr="00C52D22" w:rsidRDefault="00814508">
      <w:pPr>
        <w:rPr>
          <w:sz w:val="24"/>
        </w:rPr>
      </w:pPr>
      <w:r w:rsidRPr="00C52D22">
        <w:rPr>
          <w:sz w:val="24"/>
          <w:szCs w:val="24"/>
        </w:rPr>
        <w:t xml:space="preserve">In some cases, </w:t>
      </w:r>
      <w:r w:rsidR="00DB66FD" w:rsidRPr="00C52D22">
        <w:rPr>
          <w:sz w:val="24"/>
          <w:szCs w:val="24"/>
        </w:rPr>
        <w:t xml:space="preserve">one or more participants were opposed to requirements that other participants perceived to be essential. </w:t>
      </w:r>
      <w:r w:rsidRPr="00C52D22">
        <w:rPr>
          <w:sz w:val="24"/>
        </w:rPr>
        <w:t xml:space="preserve">There was </w:t>
      </w:r>
      <w:r w:rsidR="00DB66FD" w:rsidRPr="00C52D22">
        <w:rPr>
          <w:sz w:val="24"/>
        </w:rPr>
        <w:t xml:space="preserve">active disagreement </w:t>
      </w:r>
      <w:r w:rsidRPr="00C52D22">
        <w:rPr>
          <w:sz w:val="24"/>
        </w:rPr>
        <w:t xml:space="preserve">on the requirements listed </w:t>
      </w:r>
      <w:r w:rsidR="00DB66FD" w:rsidRPr="00C52D22">
        <w:rPr>
          <w:sz w:val="24"/>
        </w:rPr>
        <w:t>below</w:t>
      </w:r>
      <w:r w:rsidR="00F76F54" w:rsidRPr="00C52D22">
        <w:rPr>
          <w:sz w:val="24"/>
        </w:rPr>
        <w:t xml:space="preserve"> and </w:t>
      </w:r>
      <w:r w:rsidR="00DF1406" w:rsidRPr="00C52D22">
        <w:rPr>
          <w:sz w:val="24"/>
        </w:rPr>
        <w:t xml:space="preserve">the </w:t>
      </w:r>
      <w:r w:rsidRPr="00C52D22">
        <w:rPr>
          <w:sz w:val="24"/>
        </w:rPr>
        <w:t xml:space="preserve">related participant quotes help to illustrate the </w:t>
      </w:r>
      <w:r w:rsidR="00D55196" w:rsidRPr="00C52D22">
        <w:rPr>
          <w:sz w:val="24"/>
        </w:rPr>
        <w:t xml:space="preserve">reasons for the </w:t>
      </w:r>
      <w:r w:rsidRPr="00C52D22">
        <w:rPr>
          <w:sz w:val="24"/>
        </w:rPr>
        <w:t>disagreement.</w:t>
      </w:r>
    </w:p>
    <w:p w14:paraId="513A1BA3" w14:textId="2E62B261" w:rsidR="00DB66FD" w:rsidRPr="00C52D22" w:rsidRDefault="00DB66FD" w:rsidP="00DB66FD">
      <w:pPr>
        <w:spacing w:after="100"/>
        <w:rPr>
          <w:sz w:val="24"/>
          <w:szCs w:val="24"/>
        </w:rPr>
      </w:pPr>
      <w:r w:rsidRPr="00C52D22">
        <w:rPr>
          <w:b/>
          <w:bCs/>
          <w:sz w:val="24"/>
          <w:szCs w:val="24"/>
        </w:rPr>
        <w:t xml:space="preserve">People (and caregivers that they authorize) can easily access a usable copy of health data </w:t>
      </w:r>
      <w:r w:rsidR="00CC40A8">
        <w:rPr>
          <w:b/>
          <w:bCs/>
          <w:sz w:val="24"/>
          <w:szCs w:val="24"/>
        </w:rPr>
        <w:t xml:space="preserve">that </w:t>
      </w:r>
      <w:r w:rsidR="00DD7790">
        <w:rPr>
          <w:b/>
          <w:bCs/>
          <w:sz w:val="24"/>
          <w:szCs w:val="24"/>
        </w:rPr>
        <w:t xml:space="preserve">has </w:t>
      </w:r>
      <w:r w:rsidRPr="00C52D22">
        <w:rPr>
          <w:b/>
          <w:bCs/>
          <w:sz w:val="24"/>
          <w:szCs w:val="24"/>
        </w:rPr>
        <w:t xml:space="preserve">been compiled about them </w:t>
      </w:r>
      <w:r w:rsidR="00491DBB" w:rsidRPr="00C52D22">
        <w:rPr>
          <w:b/>
          <w:bCs/>
          <w:sz w:val="24"/>
          <w:szCs w:val="24"/>
        </w:rPr>
        <w:t xml:space="preserve">in a usable format </w:t>
      </w:r>
      <w:r w:rsidRPr="00C52D22">
        <w:rPr>
          <w:b/>
          <w:bCs/>
          <w:sz w:val="24"/>
          <w:szCs w:val="24"/>
        </w:rPr>
        <w:t xml:space="preserve">(e.g., one that can be read by a computer or electronic device) </w:t>
      </w:r>
      <w:r w:rsidR="00491DBB" w:rsidRPr="00C52D22">
        <w:rPr>
          <w:b/>
          <w:bCs/>
          <w:sz w:val="24"/>
          <w:szCs w:val="24"/>
        </w:rPr>
        <w:t xml:space="preserve">in a timely manner </w:t>
      </w:r>
      <w:r w:rsidRPr="00C52D22">
        <w:rPr>
          <w:b/>
          <w:bCs/>
          <w:sz w:val="24"/>
          <w:szCs w:val="24"/>
        </w:rPr>
        <w:t>so that they can make informed decisions about their health and health care.</w:t>
      </w:r>
    </w:p>
    <w:p w14:paraId="3D431E39" w14:textId="63ADBF7B" w:rsidR="00DB66FD" w:rsidRPr="001B40DF" w:rsidRDefault="00150BE5" w:rsidP="00165670">
      <w:pPr>
        <w:pStyle w:val="ListParagraph"/>
        <w:spacing w:after="100"/>
        <w:contextualSpacing w:val="0"/>
        <w:rPr>
          <w:i/>
          <w:iCs/>
          <w:sz w:val="24"/>
          <w:szCs w:val="24"/>
        </w:rPr>
      </w:pPr>
      <w:r w:rsidRPr="00C52D22">
        <w:rPr>
          <w:i/>
          <w:iCs/>
          <w:sz w:val="24"/>
          <w:szCs w:val="24"/>
        </w:rPr>
        <w:t xml:space="preserve">[STATEMENT INDICATING AGREEMENT] </w:t>
      </w:r>
      <w:r w:rsidR="00DB66FD" w:rsidRPr="00C52D22">
        <w:rPr>
          <w:i/>
          <w:iCs/>
          <w:sz w:val="24"/>
          <w:szCs w:val="24"/>
        </w:rPr>
        <w:t>“</w:t>
      </w:r>
      <w:r w:rsidR="00953769">
        <w:rPr>
          <w:i/>
          <w:iCs/>
          <w:sz w:val="24"/>
          <w:szCs w:val="24"/>
        </w:rPr>
        <w:t>Health</w:t>
      </w:r>
      <w:r w:rsidR="00953769" w:rsidRPr="001B40DF">
        <w:rPr>
          <w:i/>
          <w:iCs/>
          <w:sz w:val="24"/>
          <w:szCs w:val="24"/>
        </w:rPr>
        <w:t>care</w:t>
      </w:r>
      <w:r w:rsidR="00DB66FD" w:rsidRPr="001B40DF">
        <w:rPr>
          <w:i/>
          <w:iCs/>
          <w:sz w:val="24"/>
          <w:szCs w:val="24"/>
        </w:rPr>
        <w:t xml:space="preserve"> team members have a fiduciary duty to patients. To instill trust, open and transparency of all derived health data from the patient is required to be provided to patients in machine readable format.”</w:t>
      </w:r>
    </w:p>
    <w:p w14:paraId="52EB3AA9" w14:textId="69CAF48D" w:rsidR="00DB66FD" w:rsidRPr="00C52D22" w:rsidRDefault="00150BE5" w:rsidP="00DB66FD">
      <w:pPr>
        <w:pStyle w:val="ListParagraph"/>
        <w:spacing w:after="100"/>
        <w:contextualSpacing w:val="0"/>
        <w:rPr>
          <w:i/>
          <w:iCs/>
          <w:sz w:val="24"/>
          <w:szCs w:val="24"/>
        </w:rPr>
      </w:pPr>
      <w:r w:rsidRPr="00C52D22">
        <w:rPr>
          <w:i/>
          <w:iCs/>
          <w:sz w:val="24"/>
          <w:szCs w:val="24"/>
        </w:rPr>
        <w:t xml:space="preserve">[STATEMENT INDICATING AGREEMENT] </w:t>
      </w:r>
      <w:r w:rsidR="00DB66FD" w:rsidRPr="00C52D22">
        <w:rPr>
          <w:i/>
          <w:iCs/>
          <w:sz w:val="24"/>
          <w:szCs w:val="24"/>
        </w:rPr>
        <w:t xml:space="preserve">“As responsible adults, patients should be entitled to all information about themselves. From laboratory </w:t>
      </w:r>
      <w:r w:rsidR="002E029C">
        <w:rPr>
          <w:i/>
          <w:iCs/>
          <w:sz w:val="24"/>
          <w:szCs w:val="24"/>
        </w:rPr>
        <w:t>report</w:t>
      </w:r>
      <w:r w:rsidR="00DB66FD" w:rsidRPr="00C52D22">
        <w:rPr>
          <w:i/>
          <w:iCs/>
          <w:sz w:val="24"/>
          <w:szCs w:val="24"/>
        </w:rPr>
        <w:t xml:space="preserve">s to scan images (not just </w:t>
      </w:r>
      <w:r w:rsidR="002E029C">
        <w:rPr>
          <w:i/>
          <w:iCs/>
          <w:sz w:val="24"/>
          <w:szCs w:val="24"/>
        </w:rPr>
        <w:t>report</w:t>
      </w:r>
      <w:r w:rsidR="00DB66FD" w:rsidRPr="00C52D22">
        <w:rPr>
          <w:i/>
          <w:iCs/>
          <w:sz w:val="24"/>
          <w:szCs w:val="24"/>
        </w:rPr>
        <w:t>s) and file notes. Above all, the same access as other care partners.”</w:t>
      </w:r>
    </w:p>
    <w:p w14:paraId="253649F3" w14:textId="51455571" w:rsidR="00DB66FD" w:rsidRPr="00C52D22" w:rsidRDefault="5C62D6C4" w:rsidP="5C62D6C4">
      <w:pPr>
        <w:pStyle w:val="ListParagraph"/>
        <w:rPr>
          <w:i/>
          <w:iCs/>
          <w:sz w:val="24"/>
          <w:szCs w:val="24"/>
        </w:rPr>
      </w:pPr>
      <w:r w:rsidRPr="00C52D22">
        <w:rPr>
          <w:i/>
          <w:iCs/>
          <w:sz w:val="24"/>
          <w:szCs w:val="24"/>
        </w:rPr>
        <w:t>[STATEMENT INDICATING DISAGREEMENT] “The security issue of individuals being able to access their health data is far too high and can jeopardize the privacy of individuals.”</w:t>
      </w:r>
    </w:p>
    <w:p w14:paraId="0D34A55A" w14:textId="77777777" w:rsidR="00DB66FD" w:rsidRPr="00C52D22" w:rsidRDefault="00DB66FD" w:rsidP="00653F41">
      <w:pPr>
        <w:keepNext/>
        <w:spacing w:after="100"/>
        <w:contextualSpacing/>
        <w:rPr>
          <w:b/>
          <w:bCs/>
          <w:sz w:val="24"/>
          <w:szCs w:val="24"/>
        </w:rPr>
      </w:pPr>
      <w:r w:rsidRPr="00C52D22">
        <w:rPr>
          <w:b/>
          <w:bCs/>
          <w:sz w:val="24"/>
          <w:szCs w:val="24"/>
        </w:rPr>
        <w:t xml:space="preserve">Only data that have been truly anonymized (e.g., data that exclude names and other identifying information about individuals and communities) can be shared. </w:t>
      </w:r>
    </w:p>
    <w:p w14:paraId="37B824C5" w14:textId="71DCE998" w:rsidR="00DB66FD" w:rsidRPr="00C52D22" w:rsidRDefault="007853FD" w:rsidP="00653F41">
      <w:pPr>
        <w:pStyle w:val="ListParagraph"/>
        <w:keepNext/>
        <w:spacing w:after="100"/>
        <w:contextualSpacing w:val="0"/>
        <w:rPr>
          <w:i/>
          <w:iCs/>
          <w:sz w:val="24"/>
          <w:szCs w:val="24"/>
        </w:rPr>
      </w:pPr>
      <w:r w:rsidRPr="00C52D22">
        <w:rPr>
          <w:i/>
          <w:iCs/>
          <w:sz w:val="24"/>
          <w:szCs w:val="24"/>
        </w:rPr>
        <w:t xml:space="preserve">[STATEMENT INDICATING AGREEMENT] </w:t>
      </w:r>
      <w:r w:rsidR="00DB66FD" w:rsidRPr="00C52D22">
        <w:rPr>
          <w:i/>
          <w:iCs/>
          <w:sz w:val="24"/>
          <w:szCs w:val="24"/>
        </w:rPr>
        <w:t>“</w:t>
      </w:r>
      <w:r w:rsidR="006C59D5" w:rsidRPr="00C52D22">
        <w:rPr>
          <w:i/>
          <w:iCs/>
          <w:sz w:val="24"/>
          <w:szCs w:val="24"/>
        </w:rPr>
        <w:t>[anonymization is] t</w:t>
      </w:r>
      <w:r w:rsidR="00DB66FD" w:rsidRPr="00C52D22">
        <w:rPr>
          <w:i/>
          <w:iCs/>
          <w:sz w:val="24"/>
          <w:szCs w:val="24"/>
        </w:rPr>
        <w:t>he only way for patients to be sure that their name cannot be linked to their personal data.”</w:t>
      </w:r>
    </w:p>
    <w:p w14:paraId="2E676073" w14:textId="089779AD" w:rsidR="00DB66FD" w:rsidRPr="001B40DF" w:rsidRDefault="5C62D6C4" w:rsidP="00165670">
      <w:pPr>
        <w:pStyle w:val="ListParagraph"/>
        <w:spacing w:after="100"/>
        <w:rPr>
          <w:i/>
          <w:iCs/>
          <w:sz w:val="24"/>
          <w:szCs w:val="24"/>
        </w:rPr>
      </w:pPr>
      <w:r w:rsidRPr="00C52D22">
        <w:rPr>
          <w:i/>
          <w:iCs/>
          <w:sz w:val="24"/>
          <w:szCs w:val="24"/>
        </w:rPr>
        <w:t xml:space="preserve">[STATEMENT INDICATING DISAGREEMENT] “In cases where authorized individuals require identifying information in order to provide, or plan, </w:t>
      </w:r>
      <w:r w:rsidR="00953769">
        <w:rPr>
          <w:i/>
          <w:iCs/>
          <w:sz w:val="24"/>
          <w:szCs w:val="24"/>
        </w:rPr>
        <w:t>health</w:t>
      </w:r>
      <w:r w:rsidR="00953769" w:rsidRPr="001B40DF">
        <w:rPr>
          <w:i/>
          <w:iCs/>
          <w:sz w:val="24"/>
          <w:szCs w:val="24"/>
        </w:rPr>
        <w:t>care</w:t>
      </w:r>
      <w:r w:rsidRPr="001B40DF">
        <w:rPr>
          <w:i/>
          <w:iCs/>
          <w:sz w:val="24"/>
          <w:szCs w:val="24"/>
        </w:rPr>
        <w:t xml:space="preserve"> services or in order to link datasets collected by different organizations, identify</w:t>
      </w:r>
      <w:r w:rsidR="00B621AC">
        <w:rPr>
          <w:i/>
          <w:iCs/>
          <w:sz w:val="24"/>
          <w:szCs w:val="24"/>
        </w:rPr>
        <w:t>ing information may be provided</w:t>
      </w:r>
      <w:r w:rsidRPr="001B40DF">
        <w:rPr>
          <w:i/>
          <w:iCs/>
          <w:sz w:val="24"/>
          <w:szCs w:val="24"/>
        </w:rPr>
        <w:t xml:space="preserve"> on a very restricted basis.”</w:t>
      </w:r>
    </w:p>
    <w:p w14:paraId="4CA87955" w14:textId="77777777" w:rsidR="00DB66FD" w:rsidRPr="00C52D22" w:rsidRDefault="00DB66FD" w:rsidP="00C828AC">
      <w:pPr>
        <w:spacing w:before="240" w:after="100"/>
        <w:rPr>
          <w:b/>
          <w:sz w:val="24"/>
          <w:szCs w:val="24"/>
        </w:rPr>
      </w:pPr>
      <w:r w:rsidRPr="00C52D22">
        <w:rPr>
          <w:b/>
          <w:sz w:val="24"/>
          <w:szCs w:val="24"/>
        </w:rPr>
        <w:t>Opt-in consent is obtained before health data are collected, used, shared, or re-used (i.e., people agree in writing to the use(s)/user(s) of their data).</w:t>
      </w:r>
    </w:p>
    <w:p w14:paraId="17820CF6" w14:textId="428E2200" w:rsidR="00DB66FD" w:rsidRPr="00C52D22" w:rsidRDefault="00150BE5" w:rsidP="002B6BA2">
      <w:pPr>
        <w:spacing w:after="100"/>
        <w:ind w:left="720"/>
        <w:rPr>
          <w:i/>
          <w:sz w:val="24"/>
          <w:szCs w:val="24"/>
        </w:rPr>
      </w:pPr>
      <w:r w:rsidRPr="00C52D22">
        <w:rPr>
          <w:i/>
          <w:iCs/>
          <w:sz w:val="24"/>
          <w:szCs w:val="24"/>
        </w:rPr>
        <w:t xml:space="preserve">[STATEMENT INDICATING AGREEMENT] </w:t>
      </w:r>
      <w:r w:rsidR="00DB66FD" w:rsidRPr="00C52D22">
        <w:rPr>
          <w:i/>
          <w:sz w:val="24"/>
          <w:szCs w:val="24"/>
        </w:rPr>
        <w:t>“No sharing of this data without the consent of the person concerned”</w:t>
      </w:r>
    </w:p>
    <w:p w14:paraId="24093639" w14:textId="2FB53097" w:rsidR="00DB5645" w:rsidRPr="00C52D22" w:rsidRDefault="1EBED5FF" w:rsidP="00F17145">
      <w:pPr>
        <w:spacing w:after="100"/>
        <w:ind w:left="720"/>
        <w:rPr>
          <w:i/>
          <w:iCs/>
          <w:sz w:val="24"/>
          <w:szCs w:val="24"/>
        </w:rPr>
      </w:pPr>
      <w:r w:rsidRPr="00C52D22">
        <w:rPr>
          <w:i/>
          <w:iCs/>
          <w:sz w:val="24"/>
          <w:szCs w:val="24"/>
        </w:rPr>
        <w:t>[STATEMENT INDICATING DISAGREEMENT] “Regulation must not interfere with the use of health data for purposes that will benefit society. Too much protection, for example a regime that requires consent for each project (opt-in), can make research much more complicated if not impossible. It's a minority of people who will not want their data to be used; they must be given the opportunity to refuse without creating a system that causes barriers to research.”</w:t>
      </w:r>
    </w:p>
    <w:p w14:paraId="4BE403AB" w14:textId="77777777" w:rsidR="00813622" w:rsidRPr="00C60759" w:rsidRDefault="00813622">
      <w:pPr>
        <w:rPr>
          <w:rFonts w:asciiTheme="majorHAnsi" w:eastAsiaTheme="majorEastAsia" w:hAnsiTheme="majorHAnsi" w:cstheme="majorBidi"/>
          <w:color w:val="2F5496" w:themeColor="accent1" w:themeShade="BF"/>
          <w:sz w:val="2"/>
          <w:szCs w:val="2"/>
        </w:rPr>
      </w:pPr>
      <w:r>
        <w:br w:type="page"/>
      </w:r>
    </w:p>
    <w:p w14:paraId="1111CF72" w14:textId="6C9FDCBC" w:rsidR="00031B76" w:rsidRDefault="00AA6E30" w:rsidP="000A63D9">
      <w:pPr>
        <w:pStyle w:val="Heading2"/>
        <w:keepNext w:val="0"/>
        <w:keepLines w:val="0"/>
        <w:rPr>
          <w:color w:val="1F3763" w:themeColor="accent1" w:themeShade="7F"/>
          <w:sz w:val="28"/>
          <w:szCs w:val="24"/>
        </w:rPr>
      </w:pPr>
      <w:r w:rsidRPr="00C52D22">
        <w:lastRenderedPageBreak/>
        <w:t>4</w:t>
      </w:r>
      <w:r w:rsidR="0053285F" w:rsidRPr="00C52D22">
        <w:t>.0</w:t>
      </w:r>
      <w:r w:rsidR="0053285F" w:rsidRPr="00C52D22">
        <w:tab/>
      </w:r>
      <w:r w:rsidR="00887FE8" w:rsidRPr="00C52D22">
        <w:t xml:space="preserve">Health data uses and users </w:t>
      </w:r>
      <w:r w:rsidR="00B01AF6" w:rsidRPr="00C52D22">
        <w:t xml:space="preserve">that are </w:t>
      </w:r>
      <w:r w:rsidR="00346865" w:rsidRPr="00C52D22">
        <w:t xml:space="preserve">within </w:t>
      </w:r>
      <w:r w:rsidR="00887FE8" w:rsidRPr="00C52D22">
        <w:t xml:space="preserve">and </w:t>
      </w:r>
      <w:r w:rsidR="00346865" w:rsidRPr="00C52D22">
        <w:t>outside of social licence</w:t>
      </w:r>
      <w:bookmarkStart w:id="241" w:name="_Toc104995163"/>
      <w:bookmarkStart w:id="242" w:name="_Toc105053248"/>
      <w:bookmarkStart w:id="243" w:name="_Toc105054570"/>
      <w:bookmarkStart w:id="244" w:name="_Toc108603507"/>
      <w:bookmarkStart w:id="245" w:name="_Toc108604560"/>
      <w:bookmarkStart w:id="246" w:name="_Toc108605489"/>
    </w:p>
    <w:p w14:paraId="6FCE3718" w14:textId="0AFA5F71" w:rsidR="00813622" w:rsidRPr="00C52D22" w:rsidRDefault="00DC1B0B" w:rsidP="00813622">
      <w:pPr>
        <w:pStyle w:val="Heading3"/>
        <w:shd w:val="clear" w:color="auto" w:fill="F2F2F2" w:themeFill="background1" w:themeFillShade="F2"/>
      </w:pPr>
      <w:bookmarkStart w:id="247" w:name="_Toc104995162"/>
      <w:bookmarkStart w:id="248" w:name="_Toc113424816"/>
      <w:bookmarkStart w:id="249" w:name="_Toc113424876"/>
      <w:bookmarkStart w:id="250" w:name="_Toc113702940"/>
      <w:bookmarkStart w:id="251" w:name="_Toc113710862"/>
      <w:bookmarkStart w:id="252" w:name="_Toc113811629"/>
      <w:bookmarkStart w:id="253" w:name="_Toc113372700"/>
      <w:bookmarkStart w:id="254" w:name="_Toc113372818"/>
      <w:bookmarkStart w:id="255" w:name="_Toc113424711"/>
      <w:bookmarkStart w:id="256" w:name="_Toc113424770"/>
      <w:bookmarkStart w:id="257" w:name="_Toc113424794"/>
      <w:bookmarkStart w:id="258" w:name="_Toc113424818"/>
      <w:bookmarkStart w:id="259" w:name="_Toc113424878"/>
      <w:bookmarkStart w:id="260" w:name="_Toc113424971"/>
      <w:bookmarkStart w:id="261" w:name="_Toc113702913"/>
      <w:bookmarkStart w:id="262" w:name="_Toc113702941"/>
      <w:bookmarkStart w:id="263" w:name="_Toc113710863"/>
      <w:bookmarkStart w:id="264" w:name="_Toc113805540"/>
      <w:bookmarkStart w:id="265" w:name="_Toc113811630"/>
      <w:r w:rsidRPr="00DC1B0B">
        <w:rPr>
          <w:sz w:val="14"/>
          <w:szCs w:val="14"/>
        </w:rPr>
        <w:br/>
      </w:r>
      <w:r w:rsidR="00813622">
        <w:t>4.1</w:t>
      </w:r>
      <w:r w:rsidR="00813622">
        <w:tab/>
        <w:t>Our process</w:t>
      </w:r>
      <w:bookmarkEnd w:id="247"/>
      <w:r w:rsidR="00813622">
        <w:t xml:space="preserve"> for identifying examples within and outside of social licence</w:t>
      </w:r>
      <w:bookmarkEnd w:id="248"/>
      <w:bookmarkEnd w:id="249"/>
      <w:bookmarkEnd w:id="250"/>
      <w:bookmarkEnd w:id="251"/>
      <w:bookmarkEnd w:id="252"/>
    </w:p>
    <w:p w14:paraId="552479FF" w14:textId="422C27ED" w:rsidR="00813622" w:rsidRDefault="00813622" w:rsidP="00813622">
      <w:pPr>
        <w:shd w:val="clear" w:color="auto" w:fill="F2F2F2" w:themeFill="background1" w:themeFillShade="F2"/>
        <w:rPr>
          <w:sz w:val="24"/>
          <w:szCs w:val="24"/>
        </w:rPr>
      </w:pPr>
      <w:r>
        <w:rPr>
          <w:sz w:val="24"/>
          <w:szCs w:val="24"/>
        </w:rPr>
        <w:t xml:space="preserve">Once the list of requirements had been updated to include participant views, the next task was to discuss specific examples of health data uses/users to determine whether those examples were within or outside of health data social licence from the perspective of participants. We increased our chances for agreement on this task because we didn’t present any examples of health data uses/users that participants had already expressed irreconcilable views about. </w:t>
      </w:r>
    </w:p>
    <w:p w14:paraId="33047994" w14:textId="77777777" w:rsidR="00DC1B0B" w:rsidRPr="00C60759" w:rsidRDefault="00DC1B0B" w:rsidP="00813622">
      <w:pPr>
        <w:shd w:val="clear" w:color="auto" w:fill="F2F2F2" w:themeFill="background1" w:themeFillShade="F2"/>
        <w:rPr>
          <w:sz w:val="2"/>
          <w:szCs w:val="2"/>
        </w:rPr>
      </w:pPr>
    </w:p>
    <w:p w14:paraId="0B7865EF" w14:textId="3DC7A802" w:rsidR="00DB66FD" w:rsidRPr="00C52D22" w:rsidRDefault="00AA6E30" w:rsidP="000A63D9">
      <w:pPr>
        <w:pStyle w:val="Heading3"/>
      </w:pPr>
      <w:r w:rsidRPr="00C52D22">
        <w:t>4</w:t>
      </w:r>
      <w:r w:rsidR="0053285F" w:rsidRPr="00C52D22">
        <w:t>.2</w:t>
      </w:r>
      <w:r w:rsidR="0053285F" w:rsidRPr="00C52D22">
        <w:tab/>
      </w:r>
      <w:r w:rsidR="00FA3E92" w:rsidRPr="00C52D22">
        <w:t xml:space="preserve">Examples that </w:t>
      </w:r>
      <w:r w:rsidR="00C03E3E" w:rsidRPr="00C52D22">
        <w:t>are WITHIN</w:t>
      </w:r>
      <w:r w:rsidR="00FA3E92" w:rsidRPr="00C52D22">
        <w:t xml:space="preserve"> social licence</w:t>
      </w:r>
      <w:bookmarkEnd w:id="241"/>
      <w:bookmarkEnd w:id="242"/>
      <w:bookmarkEnd w:id="243"/>
      <w:bookmarkEnd w:id="244"/>
      <w:bookmarkEnd w:id="245"/>
      <w:bookmarkEnd w:id="246"/>
      <w:bookmarkEnd w:id="253"/>
      <w:bookmarkEnd w:id="254"/>
      <w:bookmarkEnd w:id="255"/>
      <w:bookmarkEnd w:id="256"/>
      <w:bookmarkEnd w:id="257"/>
      <w:bookmarkEnd w:id="258"/>
      <w:bookmarkEnd w:id="259"/>
      <w:bookmarkEnd w:id="260"/>
      <w:bookmarkEnd w:id="261"/>
      <w:bookmarkEnd w:id="262"/>
      <w:bookmarkEnd w:id="263"/>
      <w:bookmarkEnd w:id="264"/>
      <w:bookmarkEnd w:id="265"/>
    </w:p>
    <w:p w14:paraId="3EEA9143" w14:textId="05405D0B" w:rsidR="00DB66FD" w:rsidRPr="00C52D22" w:rsidRDefault="00DB66FD" w:rsidP="00254326">
      <w:pPr>
        <w:spacing w:after="0"/>
        <w:rPr>
          <w:sz w:val="24"/>
          <w:szCs w:val="24"/>
        </w:rPr>
      </w:pPr>
      <w:r w:rsidRPr="00C52D22">
        <w:rPr>
          <w:sz w:val="24"/>
          <w:szCs w:val="24"/>
        </w:rPr>
        <w:t>All participant</w:t>
      </w:r>
      <w:r w:rsidR="00F94E3B" w:rsidRPr="00C52D22">
        <w:rPr>
          <w:sz w:val="24"/>
          <w:szCs w:val="24"/>
        </w:rPr>
        <w:t>s</w:t>
      </w:r>
      <w:r w:rsidRPr="00C52D22">
        <w:rPr>
          <w:sz w:val="24"/>
          <w:szCs w:val="24"/>
        </w:rPr>
        <w:t xml:space="preserve"> agreed on three examples of health data uses/users that </w:t>
      </w:r>
      <w:r w:rsidR="00C03E3E" w:rsidRPr="00C52D22">
        <w:rPr>
          <w:sz w:val="24"/>
          <w:szCs w:val="24"/>
        </w:rPr>
        <w:t>are within</w:t>
      </w:r>
      <w:r w:rsidRPr="00C52D22">
        <w:rPr>
          <w:sz w:val="24"/>
          <w:szCs w:val="24"/>
        </w:rPr>
        <w:t xml:space="preserve"> social licence</w:t>
      </w:r>
      <w:r w:rsidR="00C03E3E" w:rsidRPr="00C52D22">
        <w:rPr>
          <w:sz w:val="24"/>
          <w:szCs w:val="24"/>
        </w:rPr>
        <w:t>:</w:t>
      </w:r>
    </w:p>
    <w:p w14:paraId="47D38EA2" w14:textId="05EBACCF" w:rsidR="00DB66FD" w:rsidRPr="00C52D22" w:rsidRDefault="00DB66FD" w:rsidP="00DB66FD">
      <w:pPr>
        <w:pStyle w:val="ListParagraph"/>
        <w:numPr>
          <w:ilvl w:val="0"/>
          <w:numId w:val="6"/>
        </w:numPr>
        <w:spacing w:before="100" w:after="200" w:line="276" w:lineRule="auto"/>
        <w:rPr>
          <w:sz w:val="24"/>
          <w:szCs w:val="24"/>
        </w:rPr>
      </w:pPr>
      <w:r w:rsidRPr="00C52D22">
        <w:rPr>
          <w:sz w:val="24"/>
          <w:szCs w:val="24"/>
        </w:rPr>
        <w:t xml:space="preserve">It is WITHIN social licence for health data to be used by </w:t>
      </w:r>
      <w:r w:rsidR="00953769">
        <w:rPr>
          <w:sz w:val="24"/>
          <w:szCs w:val="24"/>
        </w:rPr>
        <w:t>healthcare</w:t>
      </w:r>
      <w:r w:rsidRPr="00C52D22">
        <w:rPr>
          <w:sz w:val="24"/>
          <w:szCs w:val="24"/>
        </w:rPr>
        <w:t xml:space="preserve"> practitioners to directly improve the </w:t>
      </w:r>
      <w:r w:rsidR="00953769">
        <w:rPr>
          <w:sz w:val="24"/>
          <w:szCs w:val="24"/>
        </w:rPr>
        <w:t>healthcare</w:t>
      </w:r>
      <w:r w:rsidRPr="00C52D22">
        <w:rPr>
          <w:sz w:val="24"/>
          <w:szCs w:val="24"/>
        </w:rPr>
        <w:t xml:space="preserve"> decisions and services provided to a patient.</w:t>
      </w:r>
    </w:p>
    <w:p w14:paraId="1A13A7C8" w14:textId="6D5EF989" w:rsidR="00DB66FD" w:rsidRPr="00C52D22" w:rsidRDefault="00DB66FD" w:rsidP="00DB66FD">
      <w:pPr>
        <w:pStyle w:val="ListParagraph"/>
        <w:numPr>
          <w:ilvl w:val="0"/>
          <w:numId w:val="6"/>
        </w:numPr>
        <w:spacing w:before="100" w:after="200" w:line="276" w:lineRule="auto"/>
        <w:rPr>
          <w:sz w:val="24"/>
          <w:szCs w:val="24"/>
        </w:rPr>
      </w:pPr>
      <w:r w:rsidRPr="00C52D22">
        <w:rPr>
          <w:sz w:val="24"/>
          <w:szCs w:val="24"/>
        </w:rPr>
        <w:t>It is WITHIN social licence for health data to be used by governments, healthcare facilities, or health system administrators to understand and improve health care and the healthcare system.</w:t>
      </w:r>
    </w:p>
    <w:p w14:paraId="7F186FB4" w14:textId="47F79719" w:rsidR="00DB66FD" w:rsidRPr="00C52D22" w:rsidRDefault="00DB66FD" w:rsidP="00DB66FD">
      <w:pPr>
        <w:pStyle w:val="ListParagraph"/>
        <w:numPr>
          <w:ilvl w:val="0"/>
          <w:numId w:val="6"/>
        </w:numPr>
        <w:spacing w:before="100" w:after="200" w:line="276" w:lineRule="auto"/>
        <w:rPr>
          <w:sz w:val="24"/>
          <w:szCs w:val="24"/>
        </w:rPr>
      </w:pPr>
      <w:r w:rsidRPr="00C52D22">
        <w:rPr>
          <w:sz w:val="24"/>
          <w:szCs w:val="24"/>
        </w:rPr>
        <w:t>It is WITHIN social licence for health data to be used by university-based researchers to understand the drivers of disease and wellbeing.</w:t>
      </w:r>
    </w:p>
    <w:p w14:paraId="006C8861" w14:textId="113E1BBB" w:rsidR="00FA3E92" w:rsidRPr="00C52D22" w:rsidRDefault="00AA6E30" w:rsidP="00FA3E92">
      <w:pPr>
        <w:pStyle w:val="Heading3"/>
      </w:pPr>
      <w:bookmarkStart w:id="266" w:name="_Toc104995164"/>
      <w:bookmarkStart w:id="267" w:name="_Toc105053249"/>
      <w:bookmarkStart w:id="268" w:name="_Toc105054571"/>
      <w:bookmarkStart w:id="269" w:name="_Toc108603508"/>
      <w:bookmarkStart w:id="270" w:name="_Toc108604561"/>
      <w:bookmarkStart w:id="271" w:name="_Toc108605490"/>
      <w:bookmarkStart w:id="272" w:name="_Toc113372701"/>
      <w:bookmarkStart w:id="273" w:name="_Toc113372819"/>
      <w:bookmarkStart w:id="274" w:name="_Toc113424712"/>
      <w:bookmarkStart w:id="275" w:name="_Toc113424771"/>
      <w:bookmarkStart w:id="276" w:name="_Toc113424795"/>
      <w:bookmarkStart w:id="277" w:name="_Toc113424819"/>
      <w:bookmarkStart w:id="278" w:name="_Toc113424879"/>
      <w:bookmarkStart w:id="279" w:name="_Toc113424972"/>
      <w:bookmarkStart w:id="280" w:name="_Toc113702914"/>
      <w:bookmarkStart w:id="281" w:name="_Toc113702942"/>
      <w:bookmarkStart w:id="282" w:name="_Toc113710864"/>
      <w:bookmarkStart w:id="283" w:name="_Toc113805541"/>
      <w:bookmarkStart w:id="284" w:name="_Toc113811631"/>
      <w:r w:rsidRPr="00C52D22">
        <w:t>4</w:t>
      </w:r>
      <w:r w:rsidR="0053285F" w:rsidRPr="00C52D22">
        <w:t>.3</w:t>
      </w:r>
      <w:r w:rsidR="0053285F" w:rsidRPr="00C52D22">
        <w:tab/>
      </w:r>
      <w:r w:rsidR="00FA3E92" w:rsidRPr="00C52D22">
        <w:t xml:space="preserve">Examples that </w:t>
      </w:r>
      <w:r w:rsidR="00C03E3E" w:rsidRPr="00C52D22">
        <w:t>are NOT WITHIN of</w:t>
      </w:r>
      <w:r w:rsidR="00FA3E92" w:rsidRPr="00C52D22">
        <w:t xml:space="preserve"> social licence</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7825A9A" w14:textId="448572E6" w:rsidR="00DB66FD" w:rsidRPr="00C52D22" w:rsidRDefault="00F94E3B" w:rsidP="00254326">
      <w:pPr>
        <w:spacing w:after="0"/>
        <w:rPr>
          <w:sz w:val="24"/>
          <w:szCs w:val="24"/>
        </w:rPr>
      </w:pPr>
      <w:r w:rsidRPr="00C52D22">
        <w:rPr>
          <w:sz w:val="24"/>
          <w:szCs w:val="24"/>
        </w:rPr>
        <w:t>All</w:t>
      </w:r>
      <w:r w:rsidR="00DB66FD" w:rsidRPr="00C52D22">
        <w:rPr>
          <w:sz w:val="24"/>
          <w:szCs w:val="24"/>
        </w:rPr>
        <w:t xml:space="preserve"> participant</w:t>
      </w:r>
      <w:r w:rsidRPr="00C52D22">
        <w:rPr>
          <w:sz w:val="24"/>
          <w:szCs w:val="24"/>
        </w:rPr>
        <w:t>s</w:t>
      </w:r>
      <w:r w:rsidR="00DB66FD" w:rsidRPr="00C52D22">
        <w:rPr>
          <w:sz w:val="24"/>
          <w:szCs w:val="24"/>
        </w:rPr>
        <w:t xml:space="preserve"> also agreed on two examples of health data uses/users that </w:t>
      </w:r>
      <w:r w:rsidR="00C03E3E" w:rsidRPr="00C52D22">
        <w:rPr>
          <w:sz w:val="24"/>
          <w:szCs w:val="24"/>
        </w:rPr>
        <w:t xml:space="preserve">are not within </w:t>
      </w:r>
      <w:r w:rsidR="00DB66FD" w:rsidRPr="00C52D22">
        <w:rPr>
          <w:sz w:val="24"/>
          <w:szCs w:val="24"/>
        </w:rPr>
        <w:t>social licence regardless of the requirements, safeguards, conditions, or protections that may be in place</w:t>
      </w:r>
      <w:r w:rsidR="004442FA" w:rsidRPr="00C52D22">
        <w:rPr>
          <w:sz w:val="24"/>
          <w:szCs w:val="24"/>
        </w:rPr>
        <w:t>:</w:t>
      </w:r>
    </w:p>
    <w:p w14:paraId="0EDABCDC" w14:textId="1885EF80" w:rsidR="00DB66FD" w:rsidRPr="00C52D22" w:rsidRDefault="00DB66FD" w:rsidP="00254326">
      <w:pPr>
        <w:pStyle w:val="ListParagraph"/>
        <w:numPr>
          <w:ilvl w:val="0"/>
          <w:numId w:val="6"/>
        </w:numPr>
        <w:spacing w:after="200" w:line="276" w:lineRule="auto"/>
        <w:ind w:left="714" w:hanging="357"/>
        <w:rPr>
          <w:sz w:val="24"/>
          <w:szCs w:val="24"/>
        </w:rPr>
      </w:pPr>
      <w:bookmarkStart w:id="285" w:name="_Hlk113421052"/>
      <w:r w:rsidRPr="00C52D22">
        <w:rPr>
          <w:sz w:val="24"/>
          <w:szCs w:val="24"/>
        </w:rPr>
        <w:t>It is NOT WITHIN social licence for someone or some organization to</w:t>
      </w:r>
      <w:r w:rsidR="00C828AC">
        <w:rPr>
          <w:sz w:val="24"/>
          <w:szCs w:val="24"/>
        </w:rPr>
        <w:t xml:space="preserve"> sell</w:t>
      </w:r>
      <w:r w:rsidR="0079797D">
        <w:rPr>
          <w:sz w:val="24"/>
          <w:szCs w:val="24"/>
        </w:rPr>
        <w:t xml:space="preserve"> </w:t>
      </w:r>
      <w:r w:rsidR="00900968">
        <w:rPr>
          <w:sz w:val="24"/>
          <w:szCs w:val="24"/>
        </w:rPr>
        <w:t xml:space="preserve">(or re-sell) </w:t>
      </w:r>
      <w:r w:rsidRPr="00C52D22">
        <w:rPr>
          <w:sz w:val="24"/>
          <w:szCs w:val="24"/>
        </w:rPr>
        <w:t>someone else’s identified health data.</w:t>
      </w:r>
    </w:p>
    <w:p w14:paraId="788C0183" w14:textId="7C16EEAF" w:rsidR="00DB66FD" w:rsidRPr="00C52D22" w:rsidRDefault="00DB66FD" w:rsidP="00DB66FD">
      <w:pPr>
        <w:pStyle w:val="ListParagraph"/>
        <w:numPr>
          <w:ilvl w:val="0"/>
          <w:numId w:val="6"/>
        </w:numPr>
        <w:spacing w:before="100" w:after="200" w:line="276" w:lineRule="auto"/>
        <w:rPr>
          <w:sz w:val="24"/>
          <w:szCs w:val="24"/>
        </w:rPr>
      </w:pPr>
      <w:r w:rsidRPr="00C52D22">
        <w:rPr>
          <w:sz w:val="24"/>
          <w:szCs w:val="24"/>
        </w:rPr>
        <w:t>It is NOT WITHIN social licence for health data to be used for a purpose that has no patient, public, or societal benefit.</w:t>
      </w:r>
    </w:p>
    <w:p w14:paraId="16CFAF2E" w14:textId="72263A40" w:rsidR="00FA3E92" w:rsidRPr="00C52D22" w:rsidRDefault="00AA6E30" w:rsidP="00FA3E92">
      <w:pPr>
        <w:pStyle w:val="Heading3"/>
      </w:pPr>
      <w:bookmarkStart w:id="286" w:name="_Toc104995165"/>
      <w:bookmarkStart w:id="287" w:name="_Toc105053250"/>
      <w:bookmarkStart w:id="288" w:name="_Toc105054572"/>
      <w:bookmarkStart w:id="289" w:name="_Toc108603509"/>
      <w:bookmarkStart w:id="290" w:name="_Toc108604562"/>
      <w:bookmarkStart w:id="291" w:name="_Toc108605491"/>
      <w:bookmarkStart w:id="292" w:name="_Toc113372702"/>
      <w:bookmarkStart w:id="293" w:name="_Toc113372820"/>
      <w:bookmarkStart w:id="294" w:name="_Toc113424713"/>
      <w:bookmarkStart w:id="295" w:name="_Toc113424772"/>
      <w:bookmarkStart w:id="296" w:name="_Toc113424796"/>
      <w:bookmarkStart w:id="297" w:name="_Toc113424820"/>
      <w:bookmarkStart w:id="298" w:name="_Toc113424880"/>
      <w:bookmarkStart w:id="299" w:name="_Toc113424973"/>
      <w:bookmarkStart w:id="300" w:name="_Toc113702915"/>
      <w:bookmarkStart w:id="301" w:name="_Toc113702943"/>
      <w:bookmarkStart w:id="302" w:name="_Toc113710865"/>
      <w:bookmarkStart w:id="303" w:name="_Toc113805542"/>
      <w:bookmarkStart w:id="304" w:name="_Toc113811632"/>
      <w:bookmarkEnd w:id="285"/>
      <w:r w:rsidRPr="00C52D22">
        <w:t>4</w:t>
      </w:r>
      <w:r w:rsidR="0053285F" w:rsidRPr="00C52D22">
        <w:t>.4</w:t>
      </w:r>
      <w:r w:rsidR="0053285F" w:rsidRPr="00C52D22">
        <w:tab/>
      </w:r>
      <w:r w:rsidR="00FA3E92" w:rsidRPr="00C52D22">
        <w:t xml:space="preserve">Examples that COULD </w:t>
      </w:r>
      <w:r w:rsidR="00C03E3E" w:rsidRPr="00C52D22">
        <w:t>BE WITHIN</w:t>
      </w:r>
      <w:r w:rsidR="00FA3E92" w:rsidRPr="00C52D22">
        <w:t xml:space="preserve"> social licence</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F4D481C" w14:textId="6AB65F10" w:rsidR="00A645E2" w:rsidRPr="00C52D22" w:rsidRDefault="00E9365B" w:rsidP="00E9365B">
      <w:pPr>
        <w:rPr>
          <w:sz w:val="24"/>
          <w:szCs w:val="24"/>
        </w:rPr>
      </w:pPr>
      <w:r w:rsidRPr="00C52D22">
        <w:rPr>
          <w:sz w:val="24"/>
          <w:szCs w:val="24"/>
        </w:rPr>
        <w:t xml:space="preserve">The participants did not </w:t>
      </w:r>
      <w:r w:rsidR="00FC0AC5" w:rsidRPr="00C52D22">
        <w:rPr>
          <w:sz w:val="24"/>
          <w:szCs w:val="24"/>
        </w:rPr>
        <w:t xml:space="preserve">come to consensus on </w:t>
      </w:r>
      <w:r w:rsidRPr="00C52D22">
        <w:rPr>
          <w:sz w:val="24"/>
          <w:szCs w:val="24"/>
        </w:rPr>
        <w:t xml:space="preserve">any examples of health data uses/users that </w:t>
      </w:r>
      <w:r w:rsidR="006D69A4" w:rsidRPr="00C52D22">
        <w:rPr>
          <w:sz w:val="24"/>
          <w:szCs w:val="24"/>
        </w:rPr>
        <w:t>COULD BE WITHIN</w:t>
      </w:r>
      <w:r w:rsidRPr="00C52D22">
        <w:rPr>
          <w:sz w:val="24"/>
          <w:szCs w:val="24"/>
        </w:rPr>
        <w:t xml:space="preserve"> social licence </w:t>
      </w:r>
      <w:r w:rsidR="006C7C17" w:rsidRPr="00C52D22">
        <w:rPr>
          <w:sz w:val="24"/>
          <w:szCs w:val="24"/>
        </w:rPr>
        <w:t>with</w:t>
      </w:r>
      <w:r w:rsidRPr="00C52D22">
        <w:rPr>
          <w:sz w:val="24"/>
          <w:szCs w:val="24"/>
        </w:rPr>
        <w:t xml:space="preserve"> additional requirements, safeguards, conditions and protective measures in place. </w:t>
      </w:r>
    </w:p>
    <w:p w14:paraId="3568C40C" w14:textId="3571A6F6" w:rsidR="00DB66FD" w:rsidRPr="00C52D22" w:rsidRDefault="00DB66FD" w:rsidP="00DB66FD">
      <w:pPr>
        <w:rPr>
          <w:sz w:val="24"/>
          <w:szCs w:val="24"/>
        </w:rPr>
      </w:pPr>
      <w:r w:rsidRPr="00C52D22">
        <w:rPr>
          <w:sz w:val="24"/>
          <w:szCs w:val="24"/>
        </w:rPr>
        <w:t>The participant</w:t>
      </w:r>
      <w:r w:rsidR="00F94E3B" w:rsidRPr="00C52D22">
        <w:rPr>
          <w:sz w:val="24"/>
          <w:szCs w:val="24"/>
        </w:rPr>
        <w:t>s</w:t>
      </w:r>
      <w:r w:rsidRPr="00C52D22">
        <w:rPr>
          <w:sz w:val="24"/>
          <w:szCs w:val="24"/>
        </w:rPr>
        <w:t xml:space="preserve"> discussed, but did not agree</w:t>
      </w:r>
      <w:r w:rsidR="00DB1B68" w:rsidRPr="00C52D22">
        <w:rPr>
          <w:sz w:val="24"/>
          <w:szCs w:val="24"/>
        </w:rPr>
        <w:t>,</w:t>
      </w:r>
      <w:r w:rsidRPr="00C52D22">
        <w:rPr>
          <w:sz w:val="24"/>
          <w:szCs w:val="24"/>
        </w:rPr>
        <w:t xml:space="preserve"> that </w:t>
      </w:r>
      <w:r w:rsidR="005767DA" w:rsidRPr="00C52D22">
        <w:rPr>
          <w:sz w:val="24"/>
          <w:szCs w:val="24"/>
        </w:rPr>
        <w:t>i</w:t>
      </w:r>
      <w:r w:rsidRPr="00C52D22">
        <w:rPr>
          <w:sz w:val="24"/>
          <w:szCs w:val="24"/>
        </w:rPr>
        <w:t xml:space="preserve">t COULD BE WITHIN social licence for health data to be used by </w:t>
      </w:r>
      <w:r w:rsidR="006C7C17" w:rsidRPr="00C52D22">
        <w:rPr>
          <w:sz w:val="24"/>
          <w:szCs w:val="24"/>
        </w:rPr>
        <w:t>companies</w:t>
      </w:r>
      <w:r w:rsidRPr="00C52D22">
        <w:rPr>
          <w:sz w:val="24"/>
          <w:szCs w:val="24"/>
        </w:rPr>
        <w:t>. Some participant</w:t>
      </w:r>
      <w:r w:rsidR="00F94E3B" w:rsidRPr="00C52D22">
        <w:rPr>
          <w:sz w:val="24"/>
          <w:szCs w:val="24"/>
        </w:rPr>
        <w:t xml:space="preserve">s </w:t>
      </w:r>
      <w:r w:rsidR="00385C66">
        <w:rPr>
          <w:sz w:val="24"/>
          <w:szCs w:val="24"/>
        </w:rPr>
        <w:t>felt that</w:t>
      </w:r>
      <w:r w:rsidR="00385C66" w:rsidRPr="00C52D22">
        <w:rPr>
          <w:sz w:val="24"/>
          <w:szCs w:val="24"/>
        </w:rPr>
        <w:t xml:space="preserve"> </w:t>
      </w:r>
      <w:r w:rsidRPr="00C52D22">
        <w:rPr>
          <w:sz w:val="24"/>
          <w:szCs w:val="24"/>
        </w:rPr>
        <w:t xml:space="preserve">it </w:t>
      </w:r>
      <w:r w:rsidR="00385C66">
        <w:rPr>
          <w:sz w:val="24"/>
          <w:szCs w:val="24"/>
        </w:rPr>
        <w:t>i</w:t>
      </w:r>
      <w:r w:rsidRPr="00C52D22">
        <w:rPr>
          <w:sz w:val="24"/>
          <w:szCs w:val="24"/>
        </w:rPr>
        <w:t>s essential for companies to be able to use data from publicly-funded health services in order for the full range of benefits from health data to be realized</w:t>
      </w:r>
      <w:r w:rsidR="00FC0AC5" w:rsidRPr="00C52D22">
        <w:rPr>
          <w:sz w:val="24"/>
          <w:szCs w:val="24"/>
        </w:rPr>
        <w:t xml:space="preserve">. They </w:t>
      </w:r>
      <w:r w:rsidR="0070685F" w:rsidRPr="00C52D22">
        <w:rPr>
          <w:sz w:val="24"/>
          <w:szCs w:val="24"/>
        </w:rPr>
        <w:t xml:space="preserve">suggested conditions such as: health data are not used for marketing purposes; and/or individuals who contribute their health data are not exploited by these companies. </w:t>
      </w:r>
      <w:r w:rsidRPr="00C52D22">
        <w:rPr>
          <w:sz w:val="24"/>
          <w:szCs w:val="24"/>
        </w:rPr>
        <w:t xml:space="preserve">Other participants </w:t>
      </w:r>
      <w:r w:rsidR="00385C66">
        <w:rPr>
          <w:sz w:val="24"/>
          <w:szCs w:val="24"/>
        </w:rPr>
        <w:t xml:space="preserve">felt </w:t>
      </w:r>
      <w:r w:rsidRPr="00C52D22">
        <w:rPr>
          <w:sz w:val="24"/>
          <w:szCs w:val="24"/>
        </w:rPr>
        <w:t>that some companies were not trustworthy</w:t>
      </w:r>
      <w:r w:rsidR="009B7AAB" w:rsidRPr="00C52D22">
        <w:rPr>
          <w:sz w:val="24"/>
          <w:szCs w:val="24"/>
        </w:rPr>
        <w:t xml:space="preserve"> and </w:t>
      </w:r>
      <w:r w:rsidRPr="00C52D22">
        <w:rPr>
          <w:sz w:val="24"/>
          <w:szCs w:val="24"/>
        </w:rPr>
        <w:t xml:space="preserve">that the risk of breeches of trust or privacy by </w:t>
      </w:r>
      <w:r w:rsidRPr="00C52D22">
        <w:rPr>
          <w:sz w:val="24"/>
          <w:szCs w:val="24"/>
        </w:rPr>
        <w:lastRenderedPageBreak/>
        <w:t>companies was unacceptable</w:t>
      </w:r>
      <w:r w:rsidR="00246207" w:rsidRPr="00C52D22">
        <w:rPr>
          <w:sz w:val="24"/>
          <w:szCs w:val="24"/>
        </w:rPr>
        <w:t xml:space="preserve"> because harms </w:t>
      </w:r>
      <w:r w:rsidR="000336A5">
        <w:rPr>
          <w:sz w:val="24"/>
          <w:szCs w:val="24"/>
        </w:rPr>
        <w:t xml:space="preserve">to patients </w:t>
      </w:r>
      <w:r w:rsidR="00246207" w:rsidRPr="00C52D22">
        <w:rPr>
          <w:sz w:val="24"/>
          <w:szCs w:val="24"/>
        </w:rPr>
        <w:t xml:space="preserve">could not be undone </w:t>
      </w:r>
      <w:r w:rsidR="004952C9" w:rsidRPr="00C52D22">
        <w:rPr>
          <w:sz w:val="24"/>
          <w:szCs w:val="24"/>
        </w:rPr>
        <w:t>if data were misused or got into the hands of malicious people</w:t>
      </w:r>
      <w:r w:rsidRPr="00C52D22">
        <w:rPr>
          <w:sz w:val="24"/>
          <w:szCs w:val="24"/>
        </w:rPr>
        <w:t>.</w:t>
      </w:r>
      <w:r w:rsidR="0078408B" w:rsidRPr="00C52D22">
        <w:rPr>
          <w:sz w:val="24"/>
          <w:szCs w:val="24"/>
        </w:rPr>
        <w:t xml:space="preserve"> They also stated that the potential for harm to patients is greater when commercial interests are involved because, inherently, companies are</w:t>
      </w:r>
      <w:r w:rsidR="000336A5">
        <w:rPr>
          <w:sz w:val="24"/>
          <w:szCs w:val="24"/>
        </w:rPr>
        <w:t xml:space="preserve"> primarily</w:t>
      </w:r>
      <w:r w:rsidR="0078408B" w:rsidRPr="00C52D22">
        <w:rPr>
          <w:sz w:val="24"/>
          <w:szCs w:val="24"/>
        </w:rPr>
        <w:t xml:space="preserve"> in business to make profits, not to serve the public.</w:t>
      </w:r>
    </w:p>
    <w:p w14:paraId="04EA4A5D" w14:textId="15FD8995" w:rsidR="00330EF5" w:rsidRDefault="00330EF5" w:rsidP="00330EF5">
      <w:pPr>
        <w:rPr>
          <w:sz w:val="24"/>
          <w:szCs w:val="24"/>
        </w:rPr>
      </w:pPr>
      <w:r w:rsidRPr="00C52D22">
        <w:rPr>
          <w:sz w:val="24"/>
          <w:szCs w:val="24"/>
        </w:rPr>
        <w:t>Many participants agreed that it COULD BE WITHIN social licence for data about systemically marginalized populations to be used by researchers with added conditions and protections</w:t>
      </w:r>
      <w:r w:rsidR="00F86300" w:rsidRPr="00C52D22">
        <w:rPr>
          <w:sz w:val="24"/>
          <w:szCs w:val="24"/>
        </w:rPr>
        <w:t xml:space="preserve"> such as: </w:t>
      </w:r>
      <w:r w:rsidRPr="00C52D22">
        <w:rPr>
          <w:sz w:val="24"/>
          <w:szCs w:val="24"/>
        </w:rPr>
        <w:t>Indigenous data sovereignty and the right to Indigenous self-determination are acknowledged and respected</w:t>
      </w:r>
      <w:r w:rsidR="00957E08">
        <w:rPr>
          <w:sz w:val="24"/>
          <w:szCs w:val="24"/>
        </w:rPr>
        <w:t>;</w:t>
      </w:r>
      <w:r w:rsidR="00957E08" w:rsidRPr="00C52D22">
        <w:rPr>
          <w:sz w:val="24"/>
          <w:szCs w:val="24"/>
        </w:rPr>
        <w:t xml:space="preserve"> </w:t>
      </w:r>
      <w:r w:rsidRPr="00C52D22">
        <w:rPr>
          <w:sz w:val="24"/>
          <w:szCs w:val="24"/>
        </w:rPr>
        <w:t>health data are not used in ways that create stigma or discriminate against groups</w:t>
      </w:r>
      <w:r w:rsidR="00A92622">
        <w:rPr>
          <w:sz w:val="24"/>
          <w:szCs w:val="24"/>
        </w:rPr>
        <w:t>;</w:t>
      </w:r>
      <w:r w:rsidRPr="00C52D22">
        <w:rPr>
          <w:sz w:val="24"/>
          <w:szCs w:val="24"/>
        </w:rPr>
        <w:t xml:space="preserve"> populations have control over how their data are collected, used, shared, or re-used</w:t>
      </w:r>
      <w:r w:rsidR="002D3F04" w:rsidRPr="00C52D22">
        <w:rPr>
          <w:sz w:val="24"/>
          <w:szCs w:val="24"/>
        </w:rPr>
        <w:t>;</w:t>
      </w:r>
      <w:r w:rsidRPr="00C52D22">
        <w:rPr>
          <w:sz w:val="24"/>
          <w:szCs w:val="24"/>
        </w:rPr>
        <w:t xml:space="preserve"> people who contribute their health data are not exploited by any organization or individual</w:t>
      </w:r>
      <w:r w:rsidR="00C676F3" w:rsidRPr="00C52D22">
        <w:rPr>
          <w:sz w:val="24"/>
          <w:szCs w:val="24"/>
        </w:rPr>
        <w:t>;</w:t>
      </w:r>
      <w:r w:rsidRPr="00C52D22">
        <w:rPr>
          <w:sz w:val="24"/>
          <w:szCs w:val="24"/>
        </w:rPr>
        <w:t xml:space="preserve"> and/or health data are only collected used, shared, or re-used for purposes that the intended beneficiaries support. </w:t>
      </w:r>
      <w:r w:rsidR="00C676F3" w:rsidRPr="00C52D22">
        <w:rPr>
          <w:sz w:val="24"/>
          <w:szCs w:val="24"/>
        </w:rPr>
        <w:t>However, because there was skepticism and disagreement about whether the safeguards and conditions could be operationalized, there was not consensus about</w:t>
      </w:r>
      <w:r w:rsidR="006C7C17" w:rsidRPr="00C52D22">
        <w:rPr>
          <w:sz w:val="24"/>
          <w:szCs w:val="24"/>
        </w:rPr>
        <w:t xml:space="preserve"> </w:t>
      </w:r>
      <w:r w:rsidR="00F86300" w:rsidRPr="00C52D22">
        <w:rPr>
          <w:sz w:val="24"/>
          <w:szCs w:val="24"/>
        </w:rPr>
        <w:t>how or by whom data about systemically marginalized populations</w:t>
      </w:r>
      <w:r w:rsidR="00B12AE4" w:rsidRPr="00C52D22">
        <w:rPr>
          <w:sz w:val="24"/>
          <w:szCs w:val="24"/>
        </w:rPr>
        <w:t xml:space="preserve"> could be used.</w:t>
      </w:r>
    </w:p>
    <w:p w14:paraId="1A40A41F" w14:textId="7B2BE49B" w:rsidR="00164FC0" w:rsidRPr="00C52D22" w:rsidRDefault="00CC096A" w:rsidP="002F3900">
      <w:pPr>
        <w:pStyle w:val="Heading2"/>
      </w:pPr>
      <w:bookmarkStart w:id="305" w:name="_Toc104995166"/>
      <w:bookmarkStart w:id="306" w:name="_Toc105053251"/>
      <w:bookmarkStart w:id="307" w:name="_Toc105054573"/>
      <w:bookmarkStart w:id="308" w:name="_Toc108603510"/>
      <w:bookmarkStart w:id="309" w:name="_Toc108604563"/>
      <w:bookmarkStart w:id="310" w:name="_Toc108605492"/>
      <w:bookmarkStart w:id="311" w:name="_Toc113372704"/>
      <w:bookmarkStart w:id="312" w:name="_Toc113372822"/>
      <w:bookmarkStart w:id="313" w:name="_Toc113424714"/>
      <w:bookmarkStart w:id="314" w:name="_Toc113424773"/>
      <w:bookmarkStart w:id="315" w:name="_Toc113424797"/>
      <w:bookmarkStart w:id="316" w:name="_Toc113424821"/>
      <w:bookmarkStart w:id="317" w:name="_Toc113424881"/>
      <w:bookmarkStart w:id="318" w:name="_Toc113424974"/>
      <w:bookmarkStart w:id="319" w:name="_Toc113702916"/>
      <w:bookmarkStart w:id="320" w:name="_Toc113702944"/>
      <w:bookmarkStart w:id="321" w:name="_Toc113710866"/>
      <w:bookmarkStart w:id="322" w:name="_Toc113805543"/>
      <w:bookmarkStart w:id="323" w:name="_Toc113811633"/>
      <w:r>
        <w:t>5</w:t>
      </w:r>
      <w:r w:rsidR="5C62D6C4" w:rsidRPr="00C52D22">
        <w:t>.0</w:t>
      </w:r>
      <w:r w:rsidR="00AA6E30" w:rsidRPr="00C52D22">
        <w:tab/>
      </w:r>
      <w:r w:rsidR="001E51E3">
        <w:t>Limitation</w:t>
      </w:r>
      <w:r w:rsidR="00197DE0">
        <w:t>s</w:t>
      </w:r>
      <w:r w:rsidR="001E51E3">
        <w:t>, u</w:t>
      </w:r>
      <w:r w:rsidR="5C62D6C4" w:rsidRPr="00C52D22">
        <w:t>nanswered questions, and future work</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5F26F165" w14:textId="5B67189F" w:rsidR="009B7AAB" w:rsidRPr="00C52D22" w:rsidRDefault="00A323EF" w:rsidP="00254326">
      <w:pPr>
        <w:spacing w:after="0"/>
        <w:rPr>
          <w:sz w:val="24"/>
        </w:rPr>
      </w:pPr>
      <w:r w:rsidRPr="00C52D22">
        <w:rPr>
          <w:sz w:val="24"/>
        </w:rPr>
        <w:t>The facilitated process and dialogue between participant</w:t>
      </w:r>
      <w:r w:rsidR="004952C9" w:rsidRPr="00C52D22">
        <w:rPr>
          <w:sz w:val="24"/>
        </w:rPr>
        <w:t>s</w:t>
      </w:r>
      <w:r w:rsidRPr="00C52D22">
        <w:rPr>
          <w:sz w:val="24"/>
        </w:rPr>
        <w:t xml:space="preserve"> generated many unanswered questions, particularly about the practical meaning of certain words or phrases related to </w:t>
      </w:r>
      <w:r w:rsidR="00300E38">
        <w:rPr>
          <w:sz w:val="24"/>
        </w:rPr>
        <w:t xml:space="preserve">health data </w:t>
      </w:r>
      <w:r w:rsidR="004252BE" w:rsidRPr="00C52D22">
        <w:rPr>
          <w:sz w:val="24"/>
        </w:rPr>
        <w:t>social licence</w:t>
      </w:r>
      <w:r w:rsidRPr="00C52D22">
        <w:rPr>
          <w:sz w:val="24"/>
        </w:rPr>
        <w:t xml:space="preserve">. </w:t>
      </w:r>
      <w:r w:rsidR="00A832E2" w:rsidRPr="00C52D22">
        <w:rPr>
          <w:sz w:val="24"/>
        </w:rPr>
        <w:t>E</w:t>
      </w:r>
      <w:r w:rsidR="009B7AAB" w:rsidRPr="00C52D22">
        <w:rPr>
          <w:sz w:val="24"/>
        </w:rPr>
        <w:t>xamples include:</w:t>
      </w:r>
    </w:p>
    <w:p w14:paraId="066DCEFC" w14:textId="78E7AE9C" w:rsidR="009B7AAB" w:rsidRPr="00C52D22" w:rsidRDefault="009B7AAB" w:rsidP="00945157">
      <w:pPr>
        <w:pStyle w:val="ListParagraph"/>
        <w:numPr>
          <w:ilvl w:val="0"/>
          <w:numId w:val="22"/>
        </w:numPr>
        <w:rPr>
          <w:sz w:val="24"/>
        </w:rPr>
      </w:pPr>
      <w:r w:rsidRPr="00C52D22">
        <w:rPr>
          <w:sz w:val="24"/>
        </w:rPr>
        <w:t>W</w:t>
      </w:r>
      <w:r w:rsidR="00A323EF" w:rsidRPr="00C52D22">
        <w:rPr>
          <w:sz w:val="24"/>
        </w:rPr>
        <w:t>hat constitutes a “legitimate” use of health data</w:t>
      </w:r>
      <w:r w:rsidRPr="00C52D22">
        <w:rPr>
          <w:sz w:val="24"/>
        </w:rPr>
        <w:t xml:space="preserve">?  </w:t>
      </w:r>
    </w:p>
    <w:p w14:paraId="0D05BDC6" w14:textId="4F5D35F7" w:rsidR="009B7AAB" w:rsidRPr="00C52D22" w:rsidRDefault="009B7AAB" w:rsidP="00945157">
      <w:pPr>
        <w:pStyle w:val="ListParagraph"/>
        <w:numPr>
          <w:ilvl w:val="0"/>
          <w:numId w:val="22"/>
        </w:numPr>
        <w:rPr>
          <w:sz w:val="24"/>
        </w:rPr>
      </w:pPr>
      <w:r w:rsidRPr="00C52D22">
        <w:rPr>
          <w:sz w:val="24"/>
        </w:rPr>
        <w:t xml:space="preserve">What do we mean by </w:t>
      </w:r>
      <w:r w:rsidR="004252BE" w:rsidRPr="00C52D22">
        <w:rPr>
          <w:sz w:val="24"/>
        </w:rPr>
        <w:t xml:space="preserve">a </w:t>
      </w:r>
      <w:r w:rsidR="00A323EF" w:rsidRPr="00C52D22">
        <w:rPr>
          <w:sz w:val="24"/>
        </w:rPr>
        <w:t>“sale of health data</w:t>
      </w:r>
      <w:r w:rsidRPr="00C52D22">
        <w:rPr>
          <w:sz w:val="24"/>
        </w:rPr>
        <w:t>?</w:t>
      </w:r>
      <w:r w:rsidR="00A323EF" w:rsidRPr="00C52D22">
        <w:rPr>
          <w:sz w:val="24"/>
        </w:rPr>
        <w:t>”</w:t>
      </w:r>
    </w:p>
    <w:p w14:paraId="544ED36E" w14:textId="3B63B847" w:rsidR="009B7AAB" w:rsidRPr="00C52D22" w:rsidRDefault="004252BE" w:rsidP="00945157">
      <w:pPr>
        <w:pStyle w:val="ListParagraph"/>
        <w:numPr>
          <w:ilvl w:val="0"/>
          <w:numId w:val="22"/>
        </w:numPr>
        <w:rPr>
          <w:sz w:val="24"/>
        </w:rPr>
      </w:pPr>
      <w:r w:rsidRPr="00C52D22">
        <w:rPr>
          <w:sz w:val="24"/>
        </w:rPr>
        <w:t xml:space="preserve">How </w:t>
      </w:r>
      <w:r w:rsidR="00B25B19" w:rsidRPr="00C52D22">
        <w:rPr>
          <w:sz w:val="24"/>
        </w:rPr>
        <w:t xml:space="preserve">quickly must </w:t>
      </w:r>
      <w:r w:rsidRPr="00C52D22">
        <w:rPr>
          <w:sz w:val="24"/>
        </w:rPr>
        <w:t>patients</w:t>
      </w:r>
      <w:r w:rsidR="004442FA" w:rsidRPr="00C52D22">
        <w:rPr>
          <w:sz w:val="24"/>
        </w:rPr>
        <w:t>’</w:t>
      </w:r>
      <w:r w:rsidRPr="00C52D22">
        <w:rPr>
          <w:sz w:val="24"/>
        </w:rPr>
        <w:t xml:space="preserve"> access to their own data </w:t>
      </w:r>
      <w:r w:rsidR="00B25B19" w:rsidRPr="00C52D22">
        <w:rPr>
          <w:sz w:val="24"/>
        </w:rPr>
        <w:t xml:space="preserve">occur </w:t>
      </w:r>
      <w:r w:rsidRPr="00C52D22">
        <w:rPr>
          <w:sz w:val="24"/>
        </w:rPr>
        <w:t>for it to happen</w:t>
      </w:r>
      <w:r w:rsidR="00A323EF" w:rsidRPr="00C52D22">
        <w:rPr>
          <w:sz w:val="24"/>
        </w:rPr>
        <w:t xml:space="preserve"> “</w:t>
      </w:r>
      <w:r w:rsidRPr="00C52D22">
        <w:rPr>
          <w:sz w:val="24"/>
        </w:rPr>
        <w:t xml:space="preserve">in a </w:t>
      </w:r>
      <w:r w:rsidR="00A323EF" w:rsidRPr="00C52D22">
        <w:rPr>
          <w:sz w:val="24"/>
        </w:rPr>
        <w:t>timely manner</w:t>
      </w:r>
      <w:r w:rsidR="009B7AAB" w:rsidRPr="00C52D22">
        <w:rPr>
          <w:sz w:val="24"/>
        </w:rPr>
        <w:t>?</w:t>
      </w:r>
      <w:r w:rsidR="00A323EF" w:rsidRPr="00C52D22">
        <w:rPr>
          <w:sz w:val="24"/>
        </w:rPr>
        <w:t>”</w:t>
      </w:r>
    </w:p>
    <w:p w14:paraId="361A99B8" w14:textId="73A9517B" w:rsidR="00D55196" w:rsidRPr="00C52D22" w:rsidRDefault="009B7AAB" w:rsidP="00945157">
      <w:pPr>
        <w:pStyle w:val="ListParagraph"/>
        <w:numPr>
          <w:ilvl w:val="0"/>
          <w:numId w:val="22"/>
        </w:numPr>
        <w:rPr>
          <w:sz w:val="24"/>
        </w:rPr>
      </w:pPr>
      <w:r w:rsidRPr="00C52D22">
        <w:rPr>
          <w:sz w:val="24"/>
        </w:rPr>
        <w:t xml:space="preserve">What does it mean </w:t>
      </w:r>
      <w:r w:rsidR="00A323EF" w:rsidRPr="00C52D22">
        <w:rPr>
          <w:sz w:val="24"/>
        </w:rPr>
        <w:t>for an organization to be “accountable”</w:t>
      </w:r>
      <w:r w:rsidR="009A0E81" w:rsidRPr="00C52D22">
        <w:rPr>
          <w:sz w:val="24"/>
        </w:rPr>
        <w:t>?</w:t>
      </w:r>
      <w:r w:rsidR="00A323EF" w:rsidRPr="00C52D22">
        <w:rPr>
          <w:sz w:val="24"/>
        </w:rPr>
        <w:t xml:space="preserve"> </w:t>
      </w:r>
    </w:p>
    <w:p w14:paraId="2BED53E8" w14:textId="354B69F5" w:rsidR="00A323EF" w:rsidRPr="00C52D22" w:rsidRDefault="00D55196" w:rsidP="00254326">
      <w:pPr>
        <w:pStyle w:val="ListParagraph"/>
        <w:numPr>
          <w:ilvl w:val="0"/>
          <w:numId w:val="22"/>
        </w:numPr>
        <w:spacing w:after="0"/>
        <w:ind w:left="714" w:hanging="357"/>
        <w:rPr>
          <w:sz w:val="24"/>
        </w:rPr>
      </w:pPr>
      <w:r w:rsidRPr="00C52D22">
        <w:rPr>
          <w:sz w:val="24"/>
        </w:rPr>
        <w:t>What constitutes “</w:t>
      </w:r>
      <w:r w:rsidR="00A323EF" w:rsidRPr="00C52D22">
        <w:rPr>
          <w:sz w:val="24"/>
        </w:rPr>
        <w:t>exploitation” of an individual who contributes data</w:t>
      </w:r>
      <w:r w:rsidR="009B7AAB" w:rsidRPr="00C52D22">
        <w:rPr>
          <w:sz w:val="24"/>
        </w:rPr>
        <w:t>?</w:t>
      </w:r>
    </w:p>
    <w:p w14:paraId="65C1A2AF" w14:textId="41A7D07F" w:rsidR="009B7AAB" w:rsidRPr="00C52D22" w:rsidRDefault="00D55196" w:rsidP="00A323EF">
      <w:pPr>
        <w:rPr>
          <w:sz w:val="24"/>
        </w:rPr>
      </w:pPr>
      <w:r w:rsidRPr="00C52D22">
        <w:rPr>
          <w:sz w:val="24"/>
        </w:rPr>
        <w:t>Future work will need to clarify these and other terms for requirements to be put into practice.</w:t>
      </w:r>
    </w:p>
    <w:p w14:paraId="2EB65D5F" w14:textId="7706D960" w:rsidR="00B025D6" w:rsidRDefault="00B435F2" w:rsidP="00AA6B61">
      <w:pPr>
        <w:rPr>
          <w:sz w:val="24"/>
        </w:rPr>
      </w:pPr>
      <w:r w:rsidRPr="00C52D22">
        <w:rPr>
          <w:sz w:val="24"/>
        </w:rPr>
        <w:t>The</w:t>
      </w:r>
      <w:r w:rsidR="00A323EF" w:rsidRPr="00C52D22">
        <w:rPr>
          <w:sz w:val="24"/>
        </w:rPr>
        <w:t xml:space="preserve"> ideas in this</w:t>
      </w:r>
      <w:r w:rsidR="00CB6955">
        <w:rPr>
          <w:sz w:val="24"/>
        </w:rPr>
        <w:t xml:space="preserve"> </w:t>
      </w:r>
      <w:r w:rsidR="002E029C">
        <w:rPr>
          <w:sz w:val="24"/>
        </w:rPr>
        <w:t>report</w:t>
      </w:r>
      <w:r w:rsidR="00A323EF" w:rsidRPr="00C52D22">
        <w:rPr>
          <w:sz w:val="24"/>
        </w:rPr>
        <w:t xml:space="preserve"> </w:t>
      </w:r>
      <w:r w:rsidR="00F35988" w:rsidRPr="00C52D22">
        <w:rPr>
          <w:sz w:val="24"/>
        </w:rPr>
        <w:t xml:space="preserve">were generated </w:t>
      </w:r>
      <w:r w:rsidR="008E2EE5" w:rsidRPr="00C52D22">
        <w:rPr>
          <w:sz w:val="24"/>
        </w:rPr>
        <w:t xml:space="preserve">based on </w:t>
      </w:r>
      <w:r w:rsidR="00A323EF" w:rsidRPr="00C52D22">
        <w:rPr>
          <w:sz w:val="24"/>
        </w:rPr>
        <w:t xml:space="preserve">hours of </w:t>
      </w:r>
      <w:r w:rsidR="008E2EE5" w:rsidRPr="00C52D22">
        <w:rPr>
          <w:sz w:val="24"/>
        </w:rPr>
        <w:t xml:space="preserve">individual thinking and </w:t>
      </w:r>
      <w:r w:rsidR="00A323EF" w:rsidRPr="00C52D22">
        <w:rPr>
          <w:sz w:val="24"/>
        </w:rPr>
        <w:t xml:space="preserve">dialogue among experienced public and patient advisors. </w:t>
      </w:r>
      <w:r w:rsidR="00AA6B61" w:rsidRPr="00C52D22">
        <w:rPr>
          <w:sz w:val="24"/>
        </w:rPr>
        <w:t xml:space="preserve">We recognize that, as a group, the participants </w:t>
      </w:r>
      <w:r w:rsidR="00A310DA" w:rsidRPr="00C52D22">
        <w:rPr>
          <w:sz w:val="24"/>
        </w:rPr>
        <w:t xml:space="preserve">are more </w:t>
      </w:r>
      <w:r w:rsidR="00AA6B61" w:rsidRPr="00C52D22">
        <w:rPr>
          <w:sz w:val="24"/>
        </w:rPr>
        <w:t xml:space="preserve">likely </w:t>
      </w:r>
      <w:r w:rsidR="00A92622">
        <w:rPr>
          <w:sz w:val="24"/>
        </w:rPr>
        <w:t xml:space="preserve">to </w:t>
      </w:r>
      <w:r w:rsidR="00AA6B61" w:rsidRPr="00C52D22">
        <w:rPr>
          <w:sz w:val="24"/>
        </w:rPr>
        <w:t xml:space="preserve">have knowledge of the benefits, risks, and opportunities associated with health data </w:t>
      </w:r>
      <w:r w:rsidR="00300E38">
        <w:rPr>
          <w:sz w:val="24"/>
        </w:rPr>
        <w:t xml:space="preserve">than </w:t>
      </w:r>
      <w:r w:rsidR="00AA6B61" w:rsidRPr="00C52D22">
        <w:rPr>
          <w:sz w:val="24"/>
        </w:rPr>
        <w:t>m</w:t>
      </w:r>
      <w:r w:rsidR="00300E38">
        <w:rPr>
          <w:sz w:val="24"/>
        </w:rPr>
        <w:t>any</w:t>
      </w:r>
      <w:r w:rsidR="00AA6B61" w:rsidRPr="00C52D22">
        <w:rPr>
          <w:sz w:val="24"/>
        </w:rPr>
        <w:t xml:space="preserve"> members of the public. </w:t>
      </w:r>
      <w:r w:rsidR="00DB63A9" w:rsidRPr="00C52D22">
        <w:rPr>
          <w:sz w:val="24"/>
        </w:rPr>
        <w:t xml:space="preserve">It is possible that the examples of uses and users that our participants saw as being within social licence </w:t>
      </w:r>
      <w:r w:rsidR="00B17A30" w:rsidRPr="00C52D22">
        <w:rPr>
          <w:sz w:val="24"/>
        </w:rPr>
        <w:t>would be</w:t>
      </w:r>
      <w:r w:rsidR="00DB63A9" w:rsidRPr="00C52D22">
        <w:rPr>
          <w:sz w:val="24"/>
        </w:rPr>
        <w:t xml:space="preserve"> perceived as being outside of social licence by other people. It is also possible that there are uses and users of health data</w:t>
      </w:r>
      <w:r w:rsidR="00B17A30" w:rsidRPr="00C52D22">
        <w:rPr>
          <w:sz w:val="24"/>
        </w:rPr>
        <w:t xml:space="preserve"> that </w:t>
      </w:r>
      <w:r w:rsidR="00C03E3E" w:rsidRPr="00C52D22">
        <w:rPr>
          <w:sz w:val="24"/>
        </w:rPr>
        <w:t>are within</w:t>
      </w:r>
      <w:r w:rsidR="00B17A30" w:rsidRPr="00C52D22">
        <w:rPr>
          <w:sz w:val="24"/>
        </w:rPr>
        <w:t xml:space="preserve"> social licence</w:t>
      </w:r>
      <w:r w:rsidR="00DB63A9" w:rsidRPr="00C52D22">
        <w:rPr>
          <w:sz w:val="24"/>
        </w:rPr>
        <w:t xml:space="preserve"> that were not identified in our process. </w:t>
      </w:r>
    </w:p>
    <w:p w14:paraId="3D7D7D68" w14:textId="220A2B9D" w:rsidR="000275A3" w:rsidRDefault="004B0C32" w:rsidP="00CC3F32">
      <w:pPr>
        <w:rPr>
          <w:sz w:val="24"/>
        </w:rPr>
      </w:pPr>
      <w:r>
        <w:rPr>
          <w:sz w:val="24"/>
        </w:rPr>
        <w:t xml:space="preserve">Our participants included one person who is First Nations and other </w:t>
      </w:r>
      <w:r w:rsidR="00C95EC6">
        <w:rPr>
          <w:sz w:val="24"/>
        </w:rPr>
        <w:t xml:space="preserve">non-Indigenous </w:t>
      </w:r>
      <w:r>
        <w:rPr>
          <w:sz w:val="24"/>
        </w:rPr>
        <w:t>people</w:t>
      </w:r>
      <w:r w:rsidR="00C95EC6">
        <w:rPr>
          <w:sz w:val="24"/>
        </w:rPr>
        <w:t xml:space="preserve"> who</w:t>
      </w:r>
      <w:r w:rsidR="00CC3F32">
        <w:rPr>
          <w:sz w:val="24"/>
        </w:rPr>
        <w:t xml:space="preserve"> </w:t>
      </w:r>
      <w:r>
        <w:rPr>
          <w:sz w:val="24"/>
        </w:rPr>
        <w:t xml:space="preserve">emphasized </w:t>
      </w:r>
      <w:r w:rsidR="00654651">
        <w:rPr>
          <w:sz w:val="24"/>
        </w:rPr>
        <w:t xml:space="preserve">the importance of </w:t>
      </w:r>
      <w:r w:rsidR="00CC3F32">
        <w:rPr>
          <w:sz w:val="24"/>
        </w:rPr>
        <w:t>Indigenous</w:t>
      </w:r>
      <w:r w:rsidR="00654651">
        <w:rPr>
          <w:sz w:val="24"/>
        </w:rPr>
        <w:t xml:space="preserve"> </w:t>
      </w:r>
      <w:r w:rsidR="00B03795">
        <w:rPr>
          <w:sz w:val="24"/>
        </w:rPr>
        <w:t>rights</w:t>
      </w:r>
      <w:r w:rsidR="00606309">
        <w:rPr>
          <w:sz w:val="24"/>
        </w:rPr>
        <w:t>,</w:t>
      </w:r>
      <w:r w:rsidR="00654651">
        <w:rPr>
          <w:sz w:val="24"/>
        </w:rPr>
        <w:t xml:space="preserve"> but</w:t>
      </w:r>
      <w:r w:rsidR="008B11A0">
        <w:rPr>
          <w:sz w:val="24"/>
        </w:rPr>
        <w:t xml:space="preserve"> the process did not focus specifically on </w:t>
      </w:r>
      <w:r w:rsidR="00F13BF4">
        <w:rPr>
          <w:sz w:val="24"/>
        </w:rPr>
        <w:t xml:space="preserve">the views of </w:t>
      </w:r>
      <w:r w:rsidR="00044E2E">
        <w:rPr>
          <w:sz w:val="24"/>
        </w:rPr>
        <w:t>Indigenous Peoples</w:t>
      </w:r>
      <w:r w:rsidR="00B03795">
        <w:rPr>
          <w:sz w:val="24"/>
        </w:rPr>
        <w:t>.</w:t>
      </w:r>
      <w:r w:rsidR="00CC3F32">
        <w:rPr>
          <w:sz w:val="24"/>
        </w:rPr>
        <w:t xml:space="preserve"> </w:t>
      </w:r>
      <w:r w:rsidR="00B03795">
        <w:rPr>
          <w:sz w:val="24"/>
        </w:rPr>
        <w:t>Separate Indigenous-led work would be required to identify the perspectives and concerns of First Nations, Inuit, and M</w:t>
      </w:r>
      <w:r w:rsidR="00B03795">
        <w:rPr>
          <w:rFonts w:cstheme="minorHAnsi"/>
          <w:sz w:val="24"/>
        </w:rPr>
        <w:t>é</w:t>
      </w:r>
      <w:r w:rsidR="00B03795">
        <w:rPr>
          <w:sz w:val="24"/>
        </w:rPr>
        <w:t>tis Peoples related to health data social licence.</w:t>
      </w:r>
    </w:p>
    <w:p w14:paraId="3B7A0D4F" w14:textId="38FC4BBA" w:rsidR="00EC5436" w:rsidRPr="00C52D22" w:rsidRDefault="00EC5436" w:rsidP="00CC3F32">
      <w:pPr>
        <w:rPr>
          <w:sz w:val="24"/>
        </w:rPr>
      </w:pPr>
      <w:r>
        <w:rPr>
          <w:sz w:val="24"/>
        </w:rPr>
        <w:lastRenderedPageBreak/>
        <w:t>On a related note, though we brought together the most diverse group of participants possible from the people that applied, and participants discussed the needs and interests of historically marginalized populations, additional work would need to be undertaken to understand health data social licence from the perspective of people and groups that are different from mainstream society because of their race, abilities, language, gender, and other characteristics.</w:t>
      </w:r>
    </w:p>
    <w:p w14:paraId="7F2B4546" w14:textId="6B483024" w:rsidR="00CE1FAD" w:rsidRDefault="00EC5436" w:rsidP="00AA6B61">
      <w:pPr>
        <w:rPr>
          <w:sz w:val="24"/>
        </w:rPr>
      </w:pPr>
      <w:r>
        <w:rPr>
          <w:sz w:val="24"/>
        </w:rPr>
        <w:t>Additionally, w</w:t>
      </w:r>
      <w:r w:rsidR="004F247D">
        <w:rPr>
          <w:sz w:val="24"/>
        </w:rPr>
        <w:t>hile we</w:t>
      </w:r>
      <w:r w:rsidR="00127935">
        <w:rPr>
          <w:sz w:val="24"/>
        </w:rPr>
        <w:t xml:space="preserve"> </w:t>
      </w:r>
      <w:r w:rsidR="001C3DA5" w:rsidRPr="00C52D22">
        <w:rPr>
          <w:sz w:val="24"/>
        </w:rPr>
        <w:t>observe</w:t>
      </w:r>
      <w:r w:rsidR="004F247D">
        <w:rPr>
          <w:sz w:val="24"/>
        </w:rPr>
        <w:t>d</w:t>
      </w:r>
      <w:r w:rsidR="001C3DA5" w:rsidRPr="00C52D22">
        <w:rPr>
          <w:sz w:val="24"/>
        </w:rPr>
        <w:t xml:space="preserve"> some </w:t>
      </w:r>
      <w:r w:rsidR="00CE1FAD" w:rsidRPr="00C52D22">
        <w:rPr>
          <w:sz w:val="24"/>
        </w:rPr>
        <w:t xml:space="preserve">differences in </w:t>
      </w:r>
      <w:r w:rsidR="001C3DA5" w:rsidRPr="00C52D22">
        <w:rPr>
          <w:sz w:val="24"/>
        </w:rPr>
        <w:t xml:space="preserve">the </w:t>
      </w:r>
      <w:r w:rsidR="00CE1FAD" w:rsidRPr="00C52D22">
        <w:rPr>
          <w:sz w:val="24"/>
        </w:rPr>
        <w:t>views between the English and French participant groups</w:t>
      </w:r>
      <w:r w:rsidR="00B025D6" w:rsidRPr="00C52D22">
        <w:rPr>
          <w:sz w:val="24"/>
        </w:rPr>
        <w:t>,</w:t>
      </w:r>
      <w:r w:rsidR="000275A3">
        <w:rPr>
          <w:sz w:val="24"/>
        </w:rPr>
        <w:t xml:space="preserve"> </w:t>
      </w:r>
      <w:r>
        <w:rPr>
          <w:sz w:val="24"/>
        </w:rPr>
        <w:t>more</w:t>
      </w:r>
      <w:r w:rsidR="001C3DA5" w:rsidRPr="00C52D22">
        <w:rPr>
          <w:sz w:val="24"/>
        </w:rPr>
        <w:t xml:space="preserve"> work </w:t>
      </w:r>
      <w:r w:rsidR="00127935">
        <w:rPr>
          <w:sz w:val="24"/>
        </w:rPr>
        <w:t xml:space="preserve">would need to be performed </w:t>
      </w:r>
      <w:r w:rsidR="005351FE">
        <w:rPr>
          <w:sz w:val="24"/>
        </w:rPr>
        <w:t xml:space="preserve">to determine </w:t>
      </w:r>
      <w:r w:rsidR="00127935">
        <w:rPr>
          <w:sz w:val="24"/>
        </w:rPr>
        <w:t xml:space="preserve">whether these differences </w:t>
      </w:r>
      <w:r w:rsidR="001C3DA5" w:rsidRPr="00C52D22">
        <w:rPr>
          <w:sz w:val="24"/>
        </w:rPr>
        <w:t xml:space="preserve">were </w:t>
      </w:r>
      <w:r w:rsidR="00B025D6" w:rsidRPr="00C52D22">
        <w:rPr>
          <w:sz w:val="24"/>
        </w:rPr>
        <w:t xml:space="preserve">generalizable and/or </w:t>
      </w:r>
      <w:r w:rsidR="001C3DA5" w:rsidRPr="00C52D22">
        <w:rPr>
          <w:sz w:val="24"/>
        </w:rPr>
        <w:t>associated with cultural or linguistic factors</w:t>
      </w:r>
      <w:r w:rsidR="00CE1FAD" w:rsidRPr="00C52D22">
        <w:rPr>
          <w:sz w:val="24"/>
        </w:rPr>
        <w:t xml:space="preserve">. </w:t>
      </w:r>
    </w:p>
    <w:p w14:paraId="27B7C336" w14:textId="4BA23CC4" w:rsidR="008109A4" w:rsidRPr="00254326" w:rsidRDefault="00AA6B61" w:rsidP="00254326">
      <w:pPr>
        <w:rPr>
          <w:sz w:val="24"/>
        </w:rPr>
      </w:pPr>
      <w:r w:rsidRPr="00254326">
        <w:rPr>
          <w:sz w:val="24"/>
        </w:rPr>
        <w:t xml:space="preserve">For </w:t>
      </w:r>
      <w:r w:rsidR="00CE1FAD" w:rsidRPr="00254326">
        <w:rPr>
          <w:sz w:val="24"/>
        </w:rPr>
        <w:t xml:space="preserve">the above </w:t>
      </w:r>
      <w:r w:rsidRPr="00254326">
        <w:rPr>
          <w:sz w:val="24"/>
        </w:rPr>
        <w:t>reason</w:t>
      </w:r>
      <w:r w:rsidR="00DB63A9" w:rsidRPr="00254326">
        <w:rPr>
          <w:sz w:val="24"/>
        </w:rPr>
        <w:t>s</w:t>
      </w:r>
      <w:r w:rsidRPr="00254326">
        <w:rPr>
          <w:sz w:val="24"/>
        </w:rPr>
        <w:t>, this</w:t>
      </w:r>
      <w:r w:rsidR="00CB6955" w:rsidRPr="00254326">
        <w:rPr>
          <w:sz w:val="24"/>
        </w:rPr>
        <w:t xml:space="preserve"> </w:t>
      </w:r>
      <w:r w:rsidR="002E029C">
        <w:rPr>
          <w:sz w:val="24"/>
        </w:rPr>
        <w:t>report</w:t>
      </w:r>
      <w:r w:rsidRPr="00254326">
        <w:rPr>
          <w:sz w:val="24"/>
        </w:rPr>
        <w:t xml:space="preserve"> should not be seen as</w:t>
      </w:r>
      <w:r w:rsidR="00B17A30" w:rsidRPr="00254326">
        <w:rPr>
          <w:sz w:val="24"/>
        </w:rPr>
        <w:t xml:space="preserve"> a</w:t>
      </w:r>
      <w:r w:rsidRPr="00254326">
        <w:rPr>
          <w:sz w:val="24"/>
        </w:rPr>
        <w:t xml:space="preserve"> final answer on the topic of health data social licence. </w:t>
      </w:r>
      <w:r w:rsidR="00DB63A9" w:rsidRPr="00254326">
        <w:rPr>
          <w:sz w:val="24"/>
        </w:rPr>
        <w:t xml:space="preserve">Rather, we encourage its use as an input for future </w:t>
      </w:r>
      <w:r w:rsidR="00B621AC">
        <w:rPr>
          <w:sz w:val="24"/>
        </w:rPr>
        <w:t xml:space="preserve">or </w:t>
      </w:r>
      <w:r w:rsidR="00DB63A9" w:rsidRPr="00254326">
        <w:rPr>
          <w:sz w:val="24"/>
        </w:rPr>
        <w:t xml:space="preserve">ongoing public involvement and engagement initiatives that include members of the public who do not have prior experience related to health data. </w:t>
      </w:r>
    </w:p>
    <w:p w14:paraId="53F41393" w14:textId="01BA2B49" w:rsidR="00F74245" w:rsidRPr="00C52D22" w:rsidRDefault="00CC096A" w:rsidP="00F74245">
      <w:pPr>
        <w:pStyle w:val="Heading2"/>
      </w:pPr>
      <w:bookmarkStart w:id="324" w:name="_Toc108603511"/>
      <w:bookmarkStart w:id="325" w:name="_Toc108604564"/>
      <w:bookmarkStart w:id="326" w:name="_Toc108605493"/>
      <w:bookmarkStart w:id="327" w:name="_Toc113372705"/>
      <w:bookmarkStart w:id="328" w:name="_Toc113372823"/>
      <w:bookmarkStart w:id="329" w:name="_Toc113424715"/>
      <w:bookmarkStart w:id="330" w:name="_Toc113424774"/>
      <w:bookmarkStart w:id="331" w:name="_Toc113424798"/>
      <w:bookmarkStart w:id="332" w:name="_Toc113424822"/>
      <w:bookmarkStart w:id="333" w:name="_Toc113424882"/>
      <w:bookmarkStart w:id="334" w:name="_Toc113424975"/>
      <w:bookmarkStart w:id="335" w:name="_Toc113702917"/>
      <w:bookmarkStart w:id="336" w:name="_Toc113702945"/>
      <w:bookmarkStart w:id="337" w:name="_Toc113710867"/>
      <w:bookmarkStart w:id="338" w:name="_Toc113805544"/>
      <w:bookmarkStart w:id="339" w:name="_Toc113811634"/>
      <w:r>
        <w:t>6</w:t>
      </w:r>
      <w:r w:rsidR="00F74245" w:rsidRPr="00C52D22">
        <w:t>.0</w:t>
      </w:r>
      <w:r w:rsidR="00F74245" w:rsidRPr="00C52D22">
        <w:tab/>
        <w:t>Acknowledgements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0FA89E4" w14:textId="2D40DF41" w:rsidR="00F74245" w:rsidRPr="00C52D22" w:rsidRDefault="002F6416" w:rsidP="00F74245">
      <w:pPr>
        <w:spacing w:line="276" w:lineRule="auto"/>
        <w:rPr>
          <w:sz w:val="24"/>
          <w:szCs w:val="24"/>
        </w:rPr>
      </w:pPr>
      <w:r>
        <w:rPr>
          <w:sz w:val="24"/>
          <w:szCs w:val="24"/>
        </w:rPr>
        <w:t>We</w:t>
      </w:r>
      <w:r w:rsidR="00F74245" w:rsidRPr="00C52D22">
        <w:rPr>
          <w:sz w:val="24"/>
          <w:szCs w:val="24"/>
        </w:rPr>
        <w:t xml:space="preserve"> thank the following people for their contribution</w:t>
      </w:r>
      <w:r w:rsidR="00B5534E">
        <w:rPr>
          <w:sz w:val="24"/>
          <w:szCs w:val="24"/>
        </w:rPr>
        <w:t>s</w:t>
      </w:r>
      <w:r w:rsidR="00F74245" w:rsidRPr="00C52D22">
        <w:rPr>
          <w:sz w:val="24"/>
          <w:szCs w:val="24"/>
        </w:rPr>
        <w:t>:</w:t>
      </w:r>
    </w:p>
    <w:p w14:paraId="3688DAD4" w14:textId="1415B2DF" w:rsidR="00F74245" w:rsidRPr="00C52D22" w:rsidRDefault="00F74245" w:rsidP="00F74245">
      <w:pPr>
        <w:pStyle w:val="ListParagraph"/>
        <w:numPr>
          <w:ilvl w:val="0"/>
          <w:numId w:val="23"/>
        </w:numPr>
        <w:spacing w:before="100" w:after="200" w:line="240" w:lineRule="auto"/>
        <w:rPr>
          <w:sz w:val="24"/>
          <w:szCs w:val="24"/>
        </w:rPr>
      </w:pPr>
      <w:r w:rsidRPr="00C52D22">
        <w:rPr>
          <w:sz w:val="24"/>
          <w:szCs w:val="24"/>
        </w:rPr>
        <w:t xml:space="preserve">Public and patient advisors who served as peer reviewers: </w:t>
      </w:r>
      <w:r w:rsidR="00D001A5" w:rsidRPr="00CC40A8">
        <w:rPr>
          <w:sz w:val="24"/>
          <w:szCs w:val="24"/>
        </w:rPr>
        <w:t>Collette B</w:t>
      </w:r>
      <w:r w:rsidR="00D001A5" w:rsidRPr="00CC40A8">
        <w:rPr>
          <w:rFonts w:cstheme="minorHAnsi"/>
          <w:sz w:val="24"/>
          <w:szCs w:val="24"/>
        </w:rPr>
        <w:t>é</w:t>
      </w:r>
      <w:r w:rsidR="00D001A5" w:rsidRPr="00CC40A8">
        <w:rPr>
          <w:sz w:val="24"/>
          <w:szCs w:val="24"/>
        </w:rPr>
        <w:t>rub</w:t>
      </w:r>
      <w:r w:rsidR="00D001A5" w:rsidRPr="00CC40A8">
        <w:rPr>
          <w:rFonts w:cstheme="minorHAnsi"/>
          <w:sz w:val="24"/>
          <w:szCs w:val="24"/>
        </w:rPr>
        <w:t>é</w:t>
      </w:r>
      <w:r w:rsidR="00D001A5" w:rsidRPr="00CC40A8">
        <w:rPr>
          <w:sz w:val="24"/>
          <w:szCs w:val="24"/>
        </w:rPr>
        <w:t xml:space="preserve">, Louise </w:t>
      </w:r>
      <w:proofErr w:type="spellStart"/>
      <w:r w:rsidR="00D001A5" w:rsidRPr="00CC40A8">
        <w:rPr>
          <w:sz w:val="24"/>
          <w:szCs w:val="24"/>
        </w:rPr>
        <w:t>Belzile</w:t>
      </w:r>
      <w:proofErr w:type="spellEnd"/>
      <w:r w:rsidR="00D001A5" w:rsidRPr="00CC40A8">
        <w:rPr>
          <w:sz w:val="24"/>
          <w:szCs w:val="24"/>
        </w:rPr>
        <w:t>,</w:t>
      </w:r>
      <w:r w:rsidR="00901D81">
        <w:rPr>
          <w:sz w:val="24"/>
          <w:szCs w:val="24"/>
        </w:rPr>
        <w:t xml:space="preserve"> </w:t>
      </w:r>
      <w:r w:rsidR="00904313" w:rsidRPr="00CC40A8">
        <w:rPr>
          <w:sz w:val="24"/>
          <w:szCs w:val="24"/>
        </w:rPr>
        <w:t xml:space="preserve">Louise Binder, </w:t>
      </w:r>
      <w:proofErr w:type="spellStart"/>
      <w:r w:rsidR="00904313" w:rsidRPr="00CC40A8">
        <w:rPr>
          <w:sz w:val="24"/>
          <w:szCs w:val="24"/>
        </w:rPr>
        <w:t>Cris</w:t>
      </w:r>
      <w:proofErr w:type="spellEnd"/>
      <w:r w:rsidR="00904313" w:rsidRPr="00CC40A8">
        <w:rPr>
          <w:sz w:val="24"/>
          <w:szCs w:val="24"/>
        </w:rPr>
        <w:t xml:space="preserve"> Carter, Andr</w:t>
      </w:r>
      <w:r w:rsidR="00904313" w:rsidRPr="00CC40A8">
        <w:rPr>
          <w:rFonts w:cstheme="minorHAnsi"/>
          <w:sz w:val="24"/>
          <w:szCs w:val="24"/>
        </w:rPr>
        <w:t>é</w:t>
      </w:r>
      <w:r w:rsidR="00904313" w:rsidRPr="00CC40A8">
        <w:rPr>
          <w:sz w:val="24"/>
          <w:szCs w:val="24"/>
        </w:rPr>
        <w:t xml:space="preserve"> Gaudreau, Maggie </w:t>
      </w:r>
      <w:proofErr w:type="spellStart"/>
      <w:r w:rsidR="00904313" w:rsidRPr="00CC40A8">
        <w:rPr>
          <w:sz w:val="24"/>
          <w:szCs w:val="24"/>
        </w:rPr>
        <w:t>Keresteci</w:t>
      </w:r>
      <w:proofErr w:type="spellEnd"/>
      <w:r w:rsidR="00904313" w:rsidRPr="00CC40A8">
        <w:rPr>
          <w:sz w:val="24"/>
          <w:szCs w:val="24"/>
        </w:rPr>
        <w:t xml:space="preserve">, Rhonda </w:t>
      </w:r>
      <w:proofErr w:type="spellStart"/>
      <w:r w:rsidR="00904313" w:rsidRPr="00CC40A8">
        <w:rPr>
          <w:sz w:val="24"/>
          <w:szCs w:val="24"/>
        </w:rPr>
        <w:t>Massad</w:t>
      </w:r>
      <w:proofErr w:type="spellEnd"/>
      <w:r w:rsidR="00904313" w:rsidRPr="00CC40A8">
        <w:rPr>
          <w:sz w:val="24"/>
          <w:szCs w:val="24"/>
        </w:rPr>
        <w:t xml:space="preserve">, Annette McKinnon, </w:t>
      </w:r>
      <w:r w:rsidR="00D001A5" w:rsidRPr="00CC40A8">
        <w:rPr>
          <w:sz w:val="24"/>
          <w:szCs w:val="24"/>
        </w:rPr>
        <w:t xml:space="preserve">Annie Poirier, Luc Ricard, </w:t>
      </w:r>
      <w:r w:rsidR="00904313" w:rsidRPr="00CC40A8">
        <w:rPr>
          <w:sz w:val="24"/>
          <w:szCs w:val="24"/>
        </w:rPr>
        <w:t>Maureen Smith, Leah S</w:t>
      </w:r>
      <w:r w:rsidR="00D001A5" w:rsidRPr="00CC40A8">
        <w:rPr>
          <w:sz w:val="24"/>
          <w:szCs w:val="24"/>
        </w:rPr>
        <w:t>tephenson</w:t>
      </w:r>
      <w:r w:rsidR="00557E53">
        <w:rPr>
          <w:sz w:val="24"/>
          <w:szCs w:val="24"/>
        </w:rPr>
        <w:t>,</w:t>
      </w:r>
      <w:r w:rsidR="00D001A5" w:rsidRPr="00CC40A8">
        <w:rPr>
          <w:sz w:val="24"/>
          <w:szCs w:val="24"/>
        </w:rPr>
        <w:t xml:space="preserve"> and </w:t>
      </w:r>
      <w:r w:rsidR="00904313" w:rsidRPr="00CC40A8">
        <w:rPr>
          <w:sz w:val="24"/>
          <w:szCs w:val="24"/>
        </w:rPr>
        <w:t xml:space="preserve">Cindy Ying Yin Yip </w:t>
      </w:r>
    </w:p>
    <w:p w14:paraId="3B3FB92E" w14:textId="05A47146" w:rsidR="00F74245" w:rsidRPr="00C52D22" w:rsidRDefault="00F25DBD" w:rsidP="00F74245">
      <w:pPr>
        <w:pStyle w:val="ListParagraph"/>
        <w:numPr>
          <w:ilvl w:val="0"/>
          <w:numId w:val="23"/>
        </w:numPr>
        <w:spacing w:before="100" w:after="200" w:line="240" w:lineRule="auto"/>
        <w:rPr>
          <w:sz w:val="24"/>
          <w:szCs w:val="24"/>
        </w:rPr>
      </w:pPr>
      <w:r>
        <w:rPr>
          <w:sz w:val="24"/>
          <w:szCs w:val="24"/>
        </w:rPr>
        <w:t>M</w:t>
      </w:r>
      <w:r w:rsidR="00F74245" w:rsidRPr="00C52D22">
        <w:rPr>
          <w:sz w:val="24"/>
          <w:szCs w:val="24"/>
        </w:rPr>
        <w:t xml:space="preserve">embers of the Health Data Research Network Canada Public Engagement Working Group </w:t>
      </w:r>
      <w:r w:rsidR="00694492">
        <w:rPr>
          <w:sz w:val="24"/>
          <w:szCs w:val="24"/>
        </w:rPr>
        <w:t xml:space="preserve">(which also includes </w:t>
      </w:r>
      <w:r w:rsidR="000336A5">
        <w:rPr>
          <w:sz w:val="24"/>
          <w:szCs w:val="24"/>
        </w:rPr>
        <w:t xml:space="preserve">co-authors </w:t>
      </w:r>
      <w:r w:rsidR="00694492">
        <w:rPr>
          <w:sz w:val="24"/>
          <w:szCs w:val="24"/>
        </w:rPr>
        <w:t xml:space="preserve">Julia Burt, Annabelle Cumyn, Roxanne Dault, and P. Alison Paprica) </w:t>
      </w:r>
      <w:r w:rsidR="00F74245" w:rsidRPr="00C52D22">
        <w:rPr>
          <w:sz w:val="24"/>
          <w:szCs w:val="24"/>
        </w:rPr>
        <w:t xml:space="preserve">who co-developed the initial </w:t>
      </w:r>
      <w:r w:rsidR="00A46445">
        <w:rPr>
          <w:sz w:val="24"/>
          <w:szCs w:val="24"/>
        </w:rPr>
        <w:t>list of requirements</w:t>
      </w:r>
      <w:r w:rsidR="001022CE">
        <w:rPr>
          <w:sz w:val="24"/>
          <w:szCs w:val="24"/>
        </w:rPr>
        <w:t xml:space="preserve"> for health data social licence</w:t>
      </w:r>
      <w:r w:rsidR="00A46445">
        <w:rPr>
          <w:sz w:val="24"/>
          <w:szCs w:val="24"/>
        </w:rPr>
        <w:t xml:space="preserve"> </w:t>
      </w:r>
      <w:r w:rsidR="00F74245" w:rsidRPr="00C52D22">
        <w:rPr>
          <w:sz w:val="24"/>
          <w:szCs w:val="24"/>
        </w:rPr>
        <w:t>and provide</w:t>
      </w:r>
      <w:r w:rsidR="00B5534E">
        <w:rPr>
          <w:sz w:val="24"/>
          <w:szCs w:val="24"/>
        </w:rPr>
        <w:t>d</w:t>
      </w:r>
      <w:r w:rsidR="00F74245" w:rsidRPr="00C52D22">
        <w:rPr>
          <w:sz w:val="24"/>
          <w:szCs w:val="24"/>
        </w:rPr>
        <w:t xml:space="preserve"> advice on the process:</w:t>
      </w:r>
      <w:r w:rsidR="003B492C">
        <w:rPr>
          <w:sz w:val="24"/>
          <w:szCs w:val="24"/>
        </w:rPr>
        <w:t xml:space="preserve"> </w:t>
      </w:r>
      <w:r w:rsidR="007B299E">
        <w:rPr>
          <w:sz w:val="24"/>
        </w:rPr>
        <w:t>Jean-François</w:t>
      </w:r>
      <w:r w:rsidR="00F74245" w:rsidRPr="00C52D22">
        <w:rPr>
          <w:sz w:val="24"/>
          <w:szCs w:val="24"/>
        </w:rPr>
        <w:t xml:space="preserve"> </w:t>
      </w:r>
      <w:proofErr w:type="spellStart"/>
      <w:r w:rsidR="00F74245" w:rsidRPr="00C52D22">
        <w:rPr>
          <w:sz w:val="24"/>
          <w:szCs w:val="24"/>
        </w:rPr>
        <w:t>Ethier</w:t>
      </w:r>
      <w:proofErr w:type="spellEnd"/>
      <w:r w:rsidR="00F74245" w:rsidRPr="00C52D22">
        <w:rPr>
          <w:sz w:val="24"/>
          <w:szCs w:val="24"/>
        </w:rPr>
        <w:t xml:space="preserve">, Frank Gavin, </w:t>
      </w:r>
      <w:proofErr w:type="spellStart"/>
      <w:r w:rsidR="00F74245" w:rsidRPr="00C52D22">
        <w:rPr>
          <w:sz w:val="24"/>
          <w:szCs w:val="24"/>
        </w:rPr>
        <w:t>Kimberlyn</w:t>
      </w:r>
      <w:proofErr w:type="spellEnd"/>
      <w:r w:rsidR="00F74245" w:rsidRPr="00C52D22">
        <w:rPr>
          <w:sz w:val="24"/>
          <w:szCs w:val="24"/>
        </w:rPr>
        <w:t xml:space="preserve"> McGrail, </w:t>
      </w:r>
      <w:proofErr w:type="spellStart"/>
      <w:r w:rsidR="00F74245" w:rsidRPr="00C52D22">
        <w:rPr>
          <w:sz w:val="24"/>
          <w:szCs w:val="24"/>
        </w:rPr>
        <w:t>Jenine</w:t>
      </w:r>
      <w:proofErr w:type="spellEnd"/>
      <w:r w:rsidR="00F74245" w:rsidRPr="00C52D22">
        <w:rPr>
          <w:sz w:val="24"/>
          <w:szCs w:val="24"/>
        </w:rPr>
        <w:t xml:space="preserve"> Paul</w:t>
      </w:r>
      <w:r w:rsidR="00703811">
        <w:rPr>
          <w:sz w:val="24"/>
          <w:szCs w:val="24"/>
        </w:rPr>
        <w:t>,</w:t>
      </w:r>
      <w:r w:rsidR="00F74245" w:rsidRPr="00C52D22">
        <w:rPr>
          <w:sz w:val="24"/>
          <w:szCs w:val="24"/>
        </w:rPr>
        <w:t xml:space="preserve"> and Catherine Street</w:t>
      </w:r>
    </w:p>
    <w:p w14:paraId="6C9CC2B5" w14:textId="3844C9D3" w:rsidR="00901D81" w:rsidRPr="00C52D22" w:rsidRDefault="00F74245" w:rsidP="00F74245">
      <w:pPr>
        <w:pStyle w:val="ListParagraph"/>
        <w:numPr>
          <w:ilvl w:val="0"/>
          <w:numId w:val="23"/>
        </w:numPr>
        <w:spacing w:before="100" w:after="200" w:line="240" w:lineRule="auto"/>
        <w:rPr>
          <w:sz w:val="24"/>
          <w:szCs w:val="24"/>
        </w:rPr>
      </w:pPr>
      <w:r w:rsidRPr="00C52D22">
        <w:rPr>
          <w:sz w:val="24"/>
          <w:szCs w:val="24"/>
        </w:rPr>
        <w:t>Kwame McKenzie, CEO of the Wellesley institute, who provided advice on the</w:t>
      </w:r>
      <w:r w:rsidR="00F56332">
        <w:rPr>
          <w:sz w:val="24"/>
          <w:szCs w:val="24"/>
        </w:rPr>
        <w:t xml:space="preserve"> </w:t>
      </w:r>
      <w:r w:rsidR="00F56332" w:rsidRPr="00C52D22">
        <w:rPr>
          <w:sz w:val="24"/>
          <w:szCs w:val="24"/>
        </w:rPr>
        <w:t xml:space="preserve">initial </w:t>
      </w:r>
      <w:r w:rsidR="00F56332">
        <w:rPr>
          <w:sz w:val="24"/>
          <w:szCs w:val="24"/>
        </w:rPr>
        <w:t>list of requirements for health data social licence</w:t>
      </w:r>
    </w:p>
    <w:p w14:paraId="784CA666" w14:textId="41FF771F" w:rsidR="00901D81" w:rsidRDefault="00CB6955" w:rsidP="00901D81">
      <w:pPr>
        <w:pStyle w:val="Heading2"/>
      </w:pPr>
      <w:bookmarkStart w:id="340" w:name="_Toc113424716"/>
      <w:bookmarkStart w:id="341" w:name="_Toc113424775"/>
      <w:bookmarkStart w:id="342" w:name="_Toc113424799"/>
      <w:bookmarkStart w:id="343" w:name="_Toc113424823"/>
      <w:bookmarkStart w:id="344" w:name="_Toc113424883"/>
      <w:bookmarkStart w:id="345" w:name="_Toc113424976"/>
      <w:bookmarkStart w:id="346" w:name="_Toc113702918"/>
      <w:bookmarkStart w:id="347" w:name="_Toc113702946"/>
      <w:bookmarkStart w:id="348" w:name="_Toc113710868"/>
      <w:bookmarkStart w:id="349" w:name="_Toc113805545"/>
      <w:bookmarkStart w:id="350" w:name="_Toc113811635"/>
      <w:r>
        <w:t>7.0</w:t>
      </w:r>
      <w:r w:rsidR="003B492C">
        <w:tab/>
      </w:r>
      <w:r w:rsidR="006C1A4C">
        <w:t>List of a</w:t>
      </w:r>
      <w:r w:rsidR="00901D81">
        <w:t>ppendices</w:t>
      </w:r>
      <w:bookmarkEnd w:id="340"/>
      <w:bookmarkEnd w:id="341"/>
      <w:bookmarkEnd w:id="342"/>
      <w:bookmarkEnd w:id="343"/>
      <w:bookmarkEnd w:id="344"/>
      <w:bookmarkEnd w:id="345"/>
      <w:bookmarkEnd w:id="346"/>
      <w:bookmarkEnd w:id="347"/>
      <w:bookmarkEnd w:id="348"/>
      <w:bookmarkEnd w:id="349"/>
      <w:bookmarkEnd w:id="350"/>
    </w:p>
    <w:p w14:paraId="3052FF53" w14:textId="21B78E60" w:rsidR="003E352A" w:rsidRDefault="008D6CB8" w:rsidP="003E352A">
      <w:pPr>
        <w:pStyle w:val="ListParagraph"/>
        <w:numPr>
          <w:ilvl w:val="0"/>
          <w:numId w:val="28"/>
        </w:numPr>
        <w:spacing w:line="276" w:lineRule="auto"/>
        <w:rPr>
          <w:sz w:val="24"/>
          <w:szCs w:val="24"/>
        </w:rPr>
      </w:pPr>
      <w:r w:rsidRPr="008D6CB8">
        <w:rPr>
          <w:sz w:val="24"/>
          <w:szCs w:val="24"/>
        </w:rPr>
        <w:t>P</w:t>
      </w:r>
      <w:r>
        <w:rPr>
          <w:sz w:val="24"/>
          <w:szCs w:val="24"/>
        </w:rPr>
        <w:t>rinciples and approach</w:t>
      </w:r>
      <w:r w:rsidR="002F3124">
        <w:rPr>
          <w:sz w:val="24"/>
          <w:szCs w:val="24"/>
        </w:rPr>
        <w:t xml:space="preserve"> </w:t>
      </w:r>
      <w:r w:rsidR="002F3124" w:rsidRPr="002F3124">
        <w:rPr>
          <w:sz w:val="24"/>
          <w:szCs w:val="24"/>
        </w:rPr>
        <w:t>(</w:t>
      </w:r>
      <w:hyperlink r:id="rId17" w:history="1">
        <w:r w:rsidR="002F3124" w:rsidRPr="002F3124">
          <w:rPr>
            <w:rStyle w:val="Hyperlink"/>
            <w:sz w:val="24"/>
            <w:szCs w:val="24"/>
          </w:rPr>
          <w:t>82.7KB read-only MS Word</w:t>
        </w:r>
      </w:hyperlink>
      <w:r w:rsidR="002F3124" w:rsidRPr="002F3124">
        <w:rPr>
          <w:sz w:val="24"/>
          <w:szCs w:val="24"/>
        </w:rPr>
        <w:t>)​</w:t>
      </w:r>
    </w:p>
    <w:p w14:paraId="2A9B06A0" w14:textId="50E655B4" w:rsidR="008D6CB8" w:rsidRDefault="00CC096A">
      <w:pPr>
        <w:pStyle w:val="ListParagraph"/>
        <w:numPr>
          <w:ilvl w:val="0"/>
          <w:numId w:val="28"/>
        </w:numPr>
        <w:spacing w:line="276" w:lineRule="auto"/>
        <w:rPr>
          <w:sz w:val="24"/>
          <w:szCs w:val="24"/>
        </w:rPr>
      </w:pPr>
      <w:r>
        <w:rPr>
          <w:sz w:val="24"/>
          <w:szCs w:val="24"/>
        </w:rPr>
        <w:t>Process</w:t>
      </w:r>
      <w:r w:rsidR="002F3124">
        <w:rPr>
          <w:sz w:val="24"/>
          <w:szCs w:val="24"/>
        </w:rPr>
        <w:t xml:space="preserve"> </w:t>
      </w:r>
      <w:r w:rsidR="002F3124" w:rsidRPr="002F3124">
        <w:rPr>
          <w:sz w:val="24"/>
          <w:szCs w:val="24"/>
        </w:rPr>
        <w:t>(</w:t>
      </w:r>
      <w:hyperlink r:id="rId18" w:history="1">
        <w:r w:rsidR="002F3124" w:rsidRPr="002F3124">
          <w:rPr>
            <w:rStyle w:val="Hyperlink"/>
            <w:sz w:val="24"/>
            <w:szCs w:val="24"/>
          </w:rPr>
          <w:t>85.5KB read-only MS Word</w:t>
        </w:r>
      </w:hyperlink>
      <w:r w:rsidR="002F3124" w:rsidRPr="002F3124">
        <w:rPr>
          <w:sz w:val="24"/>
          <w:szCs w:val="24"/>
        </w:rPr>
        <w:t>)​</w:t>
      </w:r>
    </w:p>
    <w:p w14:paraId="45F275F4" w14:textId="4003297A" w:rsidR="00CC096A" w:rsidRDefault="00533AA1">
      <w:pPr>
        <w:pStyle w:val="ListParagraph"/>
        <w:numPr>
          <w:ilvl w:val="0"/>
          <w:numId w:val="28"/>
        </w:numPr>
        <w:spacing w:line="276" w:lineRule="auto"/>
        <w:rPr>
          <w:sz w:val="24"/>
          <w:szCs w:val="24"/>
        </w:rPr>
      </w:pPr>
      <w:r>
        <w:rPr>
          <w:sz w:val="24"/>
          <w:szCs w:val="24"/>
        </w:rPr>
        <w:t>Table of requirements for health data social licence</w:t>
      </w:r>
      <w:r w:rsidR="002F3124">
        <w:rPr>
          <w:sz w:val="24"/>
          <w:szCs w:val="24"/>
        </w:rPr>
        <w:t xml:space="preserve"> </w:t>
      </w:r>
      <w:r w:rsidR="002F3124" w:rsidRPr="002F3124">
        <w:rPr>
          <w:sz w:val="24"/>
          <w:szCs w:val="24"/>
        </w:rPr>
        <w:t>(</w:t>
      </w:r>
      <w:hyperlink r:id="rId19" w:history="1">
        <w:r w:rsidR="002F3124" w:rsidRPr="002F3124">
          <w:rPr>
            <w:rStyle w:val="Hyperlink"/>
            <w:sz w:val="24"/>
            <w:szCs w:val="24"/>
          </w:rPr>
          <w:t>98.3KB read-only MS Word</w:t>
        </w:r>
      </w:hyperlink>
      <w:r w:rsidR="002F3124" w:rsidRPr="002F3124">
        <w:rPr>
          <w:sz w:val="24"/>
          <w:szCs w:val="24"/>
        </w:rPr>
        <w:t>)​</w:t>
      </w:r>
    </w:p>
    <w:p w14:paraId="7368206A" w14:textId="1F75C8EB" w:rsidR="00533AA1" w:rsidRDefault="00F80690">
      <w:pPr>
        <w:pStyle w:val="ListParagraph"/>
        <w:numPr>
          <w:ilvl w:val="0"/>
          <w:numId w:val="28"/>
        </w:numPr>
        <w:spacing w:line="276" w:lineRule="auto"/>
        <w:rPr>
          <w:sz w:val="24"/>
          <w:szCs w:val="24"/>
        </w:rPr>
      </w:pPr>
      <w:r>
        <w:rPr>
          <w:sz w:val="24"/>
          <w:szCs w:val="24"/>
        </w:rPr>
        <w:t>E</w:t>
      </w:r>
      <w:r w:rsidRPr="00F80690">
        <w:rPr>
          <w:sz w:val="24"/>
          <w:szCs w:val="24"/>
        </w:rPr>
        <w:t>xamples of requirements in participants’ own words</w:t>
      </w:r>
      <w:r w:rsidR="002F3124">
        <w:rPr>
          <w:sz w:val="24"/>
          <w:szCs w:val="24"/>
        </w:rPr>
        <w:t xml:space="preserve"> </w:t>
      </w:r>
      <w:r w:rsidR="002F3124" w:rsidRPr="002F3124">
        <w:rPr>
          <w:sz w:val="24"/>
          <w:szCs w:val="24"/>
        </w:rPr>
        <w:t>(</w:t>
      </w:r>
      <w:hyperlink r:id="rId20" w:history="1">
        <w:r w:rsidR="002F3124" w:rsidRPr="002F3124">
          <w:rPr>
            <w:rStyle w:val="Hyperlink"/>
            <w:sz w:val="24"/>
            <w:szCs w:val="24"/>
          </w:rPr>
          <w:t>68.7KB read-only MS Word</w:t>
        </w:r>
      </w:hyperlink>
      <w:r w:rsidR="002F3124" w:rsidRPr="002F3124">
        <w:rPr>
          <w:sz w:val="24"/>
          <w:szCs w:val="24"/>
        </w:rPr>
        <w:t>)​</w:t>
      </w:r>
    </w:p>
    <w:p w14:paraId="69D0BD7A" w14:textId="05FF3599" w:rsidR="005B006A" w:rsidRDefault="005B006A">
      <w:pPr>
        <w:pStyle w:val="ListParagraph"/>
        <w:numPr>
          <w:ilvl w:val="0"/>
          <w:numId w:val="28"/>
        </w:numPr>
        <w:spacing w:line="276" w:lineRule="auto"/>
        <w:rPr>
          <w:sz w:val="24"/>
          <w:szCs w:val="24"/>
        </w:rPr>
      </w:pPr>
      <w:r>
        <w:rPr>
          <w:sz w:val="24"/>
          <w:szCs w:val="24"/>
        </w:rPr>
        <w:t>Word clouds</w:t>
      </w:r>
      <w:r w:rsidR="002F3124">
        <w:rPr>
          <w:sz w:val="24"/>
          <w:szCs w:val="24"/>
        </w:rPr>
        <w:t xml:space="preserve"> </w:t>
      </w:r>
      <w:r w:rsidR="002F3124" w:rsidRPr="002F3124">
        <w:rPr>
          <w:sz w:val="24"/>
          <w:szCs w:val="24"/>
        </w:rPr>
        <w:t>(</w:t>
      </w:r>
      <w:hyperlink r:id="rId21" w:history="1">
        <w:r w:rsidR="002F3124" w:rsidRPr="002F3124">
          <w:rPr>
            <w:rStyle w:val="Hyperlink"/>
            <w:sz w:val="24"/>
            <w:szCs w:val="24"/>
          </w:rPr>
          <w:t>382KB read-only MS Word</w:t>
        </w:r>
      </w:hyperlink>
      <w:r w:rsidR="002F3124" w:rsidRPr="002F3124">
        <w:rPr>
          <w:sz w:val="24"/>
          <w:szCs w:val="24"/>
        </w:rPr>
        <w:t>)​</w:t>
      </w:r>
    </w:p>
    <w:p w14:paraId="5A1EF442" w14:textId="73F940A0" w:rsidR="00376912" w:rsidRPr="0017256D" w:rsidRDefault="00E50EE4" w:rsidP="004D2689">
      <w:pPr>
        <w:pStyle w:val="ListParagraph"/>
        <w:numPr>
          <w:ilvl w:val="0"/>
          <w:numId w:val="28"/>
        </w:numPr>
        <w:spacing w:line="276" w:lineRule="auto"/>
        <w:rPr>
          <w:sz w:val="24"/>
          <w:szCs w:val="24"/>
        </w:rPr>
      </w:pPr>
      <w:r w:rsidRPr="0017256D">
        <w:rPr>
          <w:sz w:val="24"/>
          <w:szCs w:val="24"/>
        </w:rPr>
        <w:t>P</w:t>
      </w:r>
      <w:r w:rsidR="0017256D" w:rsidRPr="0017256D">
        <w:rPr>
          <w:sz w:val="24"/>
          <w:szCs w:val="24"/>
        </w:rPr>
        <w:t>eer reviewer feedback</w:t>
      </w:r>
      <w:r w:rsidR="002F3124">
        <w:rPr>
          <w:sz w:val="24"/>
          <w:szCs w:val="24"/>
        </w:rPr>
        <w:t xml:space="preserve"> </w:t>
      </w:r>
      <w:r w:rsidR="002F3124" w:rsidRPr="002F3124">
        <w:rPr>
          <w:sz w:val="24"/>
          <w:szCs w:val="24"/>
        </w:rPr>
        <w:t>(</w:t>
      </w:r>
      <w:hyperlink r:id="rId22" w:history="1">
        <w:r w:rsidR="002F3124" w:rsidRPr="002F3124">
          <w:rPr>
            <w:rStyle w:val="Hyperlink"/>
            <w:sz w:val="24"/>
            <w:szCs w:val="24"/>
          </w:rPr>
          <w:t>71.4KB read-only MS Word</w:t>
        </w:r>
      </w:hyperlink>
      <w:r w:rsidR="002F3124" w:rsidRPr="002F3124">
        <w:rPr>
          <w:sz w:val="24"/>
          <w:szCs w:val="24"/>
        </w:rPr>
        <w:t>)</w:t>
      </w:r>
    </w:p>
    <w:sectPr w:rsidR="00376912" w:rsidRPr="0017256D" w:rsidSect="0017256D">
      <w:footerReference w:type="default" r:id="rId23"/>
      <w:footnotePr>
        <w:numFmt w:val="chicago"/>
      </w:footnotePr>
      <w:endnotePr>
        <w:numFmt w:val="decimal"/>
      </w:endnotePr>
      <w:pgSz w:w="12240" w:h="15840" w:code="1"/>
      <w:pgMar w:top="1440" w:right="1080" w:bottom="1440" w:left="1080" w:header="706" w:footer="706"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E15CAC" w16cex:dateUtc="2022-11-17T02:56:00Z"/>
  <w16cex:commentExtensible w16cex:durableId="271FE405" w16cex:dateUtc="2022-11-17T03:34:00Z"/>
  <w16cex:commentExtensible w16cex:durableId="271FE453" w16cex:dateUtc="2022-11-17T03:36:00Z"/>
  <w16cex:commentExtensible w16cex:durableId="271FED2E" w16cex:dateUtc="2022-11-17T04:13:00Z"/>
  <w16cex:commentExtensible w16cex:durableId="271FEADE" w16cex:dateUtc="2022-11-17T04: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9E3AF" w14:textId="77777777" w:rsidR="00AC1005" w:rsidRDefault="00AC1005" w:rsidP="005C090A">
      <w:pPr>
        <w:spacing w:after="0" w:line="240" w:lineRule="auto"/>
      </w:pPr>
      <w:r>
        <w:separator/>
      </w:r>
    </w:p>
  </w:endnote>
  <w:endnote w:type="continuationSeparator" w:id="0">
    <w:p w14:paraId="38AA04AF" w14:textId="77777777" w:rsidR="00AC1005" w:rsidRDefault="00AC1005" w:rsidP="005C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029943"/>
      <w:docPartObj>
        <w:docPartGallery w:val="Page Numbers (Bottom of Page)"/>
        <w:docPartUnique/>
      </w:docPartObj>
    </w:sdtPr>
    <w:sdtEndPr>
      <w:rPr>
        <w:noProof/>
      </w:rPr>
    </w:sdtEndPr>
    <w:sdtContent>
      <w:p w14:paraId="17233BE3" w14:textId="04E85FBC" w:rsidR="00BC7D9B" w:rsidRDefault="00BC7D9B">
        <w:pPr>
          <w:pStyle w:val="Footer"/>
          <w:jc w:val="right"/>
        </w:pPr>
        <w:r>
          <w:fldChar w:fldCharType="begin"/>
        </w:r>
        <w:r>
          <w:instrText xml:space="preserve"> PAGE   \* MERGEFORMAT </w:instrText>
        </w:r>
        <w:r>
          <w:fldChar w:fldCharType="separate"/>
        </w:r>
        <w:r w:rsidR="00F433C6">
          <w:rPr>
            <w:noProof/>
          </w:rPr>
          <w:t>10</w:t>
        </w:r>
        <w:r>
          <w:rPr>
            <w:noProof/>
          </w:rPr>
          <w:fldChar w:fldCharType="end"/>
        </w:r>
      </w:p>
    </w:sdtContent>
  </w:sdt>
  <w:p w14:paraId="2E3A778F" w14:textId="5E47C27F" w:rsidR="00497381" w:rsidRDefault="00497381" w:rsidP="00653F4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38450" w14:textId="77777777" w:rsidR="00AC1005" w:rsidRDefault="00AC1005" w:rsidP="005C090A">
      <w:pPr>
        <w:spacing w:after="0" w:line="240" w:lineRule="auto"/>
      </w:pPr>
      <w:r>
        <w:separator/>
      </w:r>
    </w:p>
  </w:footnote>
  <w:footnote w:type="continuationSeparator" w:id="0">
    <w:p w14:paraId="427D1714" w14:textId="77777777" w:rsidR="00AC1005" w:rsidRDefault="00AC1005" w:rsidP="005C0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97A"/>
    <w:multiLevelType w:val="hybridMultilevel"/>
    <w:tmpl w:val="458E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90C1F"/>
    <w:multiLevelType w:val="hybridMultilevel"/>
    <w:tmpl w:val="6486E418"/>
    <w:lvl w:ilvl="0" w:tplc="3EA6C290">
      <w:start w:val="1"/>
      <w:numFmt w:val="bullet"/>
      <w:lvlText w:val="ü"/>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72C451A"/>
    <w:multiLevelType w:val="hybridMultilevel"/>
    <w:tmpl w:val="91B09C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5152BE"/>
    <w:multiLevelType w:val="hybridMultilevel"/>
    <w:tmpl w:val="279E2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013F90"/>
    <w:multiLevelType w:val="hybridMultilevel"/>
    <w:tmpl w:val="81680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302F92"/>
    <w:multiLevelType w:val="hybridMultilevel"/>
    <w:tmpl w:val="6ECCF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645FC4"/>
    <w:multiLevelType w:val="hybridMultilevel"/>
    <w:tmpl w:val="70D28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9B60EE"/>
    <w:multiLevelType w:val="multilevel"/>
    <w:tmpl w:val="A4666652"/>
    <w:lvl w:ilvl="0">
      <w:start w:val="1"/>
      <w:numFmt w:val="decimal"/>
      <w:lvlText w:val="%1"/>
      <w:lvlJc w:val="left"/>
      <w:pPr>
        <w:ind w:left="375" w:hanging="375"/>
      </w:pPr>
      <w:rPr>
        <w:rFonts w:hint="default"/>
        <w:sz w:val="28"/>
      </w:rPr>
    </w:lvl>
    <w:lvl w:ilvl="1">
      <w:start w:val="2"/>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 w15:restartNumberingAfterBreak="0">
    <w:nsid w:val="14040535"/>
    <w:multiLevelType w:val="hybridMultilevel"/>
    <w:tmpl w:val="08B8DA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346321"/>
    <w:multiLevelType w:val="hybridMultilevel"/>
    <w:tmpl w:val="5CA6D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472BA4"/>
    <w:multiLevelType w:val="hybridMultilevel"/>
    <w:tmpl w:val="EDB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3A45"/>
    <w:multiLevelType w:val="hybridMultilevel"/>
    <w:tmpl w:val="4B240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3B3325"/>
    <w:multiLevelType w:val="hybridMultilevel"/>
    <w:tmpl w:val="8D103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593B54"/>
    <w:multiLevelType w:val="hybridMultilevel"/>
    <w:tmpl w:val="774E4BC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C429A4"/>
    <w:multiLevelType w:val="hybridMultilevel"/>
    <w:tmpl w:val="81B225C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2C451E"/>
    <w:multiLevelType w:val="hybridMultilevel"/>
    <w:tmpl w:val="CA12C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B90A37"/>
    <w:multiLevelType w:val="hybridMultilevel"/>
    <w:tmpl w:val="3C4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6009B"/>
    <w:multiLevelType w:val="hybridMultilevel"/>
    <w:tmpl w:val="B1046E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BF16F4"/>
    <w:multiLevelType w:val="hybridMultilevel"/>
    <w:tmpl w:val="88943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025606"/>
    <w:multiLevelType w:val="hybridMultilevel"/>
    <w:tmpl w:val="CABC40F8"/>
    <w:lvl w:ilvl="0" w:tplc="04090003">
      <w:start w:val="1"/>
      <w:numFmt w:val="bullet"/>
      <w:lvlText w:val="o"/>
      <w:lvlJc w:val="left"/>
      <w:pPr>
        <w:ind w:left="720" w:hanging="360"/>
      </w:pPr>
      <w:rPr>
        <w:rFonts w:ascii="Courier New" w:hAnsi="Courier New" w:cs="Courier New" w:hint="default"/>
      </w:rPr>
    </w:lvl>
    <w:lvl w:ilvl="1" w:tplc="FABCAC68">
      <w:start w:val="85"/>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94722"/>
    <w:multiLevelType w:val="hybridMultilevel"/>
    <w:tmpl w:val="BD9A61F6"/>
    <w:lvl w:ilvl="0" w:tplc="5C1E49C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2B4828"/>
    <w:multiLevelType w:val="hybridMultilevel"/>
    <w:tmpl w:val="C004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14E08"/>
    <w:multiLevelType w:val="hybridMultilevel"/>
    <w:tmpl w:val="BEB6D89E"/>
    <w:lvl w:ilvl="0" w:tplc="0A162BF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FA68A6"/>
    <w:multiLevelType w:val="hybridMultilevel"/>
    <w:tmpl w:val="C5FE4DB0"/>
    <w:lvl w:ilvl="0" w:tplc="3EA6C290">
      <w:start w:val="1"/>
      <w:numFmt w:val="bullet"/>
      <w:lvlText w:val="ü"/>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9C48DF"/>
    <w:multiLevelType w:val="hybridMultilevel"/>
    <w:tmpl w:val="A66C1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FB3930"/>
    <w:multiLevelType w:val="hybridMultilevel"/>
    <w:tmpl w:val="E968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33A91"/>
    <w:multiLevelType w:val="hybridMultilevel"/>
    <w:tmpl w:val="97EA94A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32A0EEA"/>
    <w:multiLevelType w:val="hybridMultilevel"/>
    <w:tmpl w:val="A7A276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BFB3E0D"/>
    <w:multiLevelType w:val="hybridMultilevel"/>
    <w:tmpl w:val="79148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9269C0"/>
    <w:multiLevelType w:val="hybridMultilevel"/>
    <w:tmpl w:val="72EC508A"/>
    <w:lvl w:ilvl="0" w:tplc="3EA6C290">
      <w:start w:val="1"/>
      <w:numFmt w:val="bullet"/>
      <w:lvlText w:val="ü"/>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550138"/>
    <w:multiLevelType w:val="hybridMultilevel"/>
    <w:tmpl w:val="03344A7A"/>
    <w:lvl w:ilvl="0" w:tplc="A34C157E">
      <w:start w:val="1"/>
      <w:numFmt w:val="bullet"/>
      <w:lvlText w:val=""/>
      <w:lvlJc w:val="left"/>
      <w:pPr>
        <w:ind w:left="720" w:hanging="360"/>
      </w:pPr>
      <w:rPr>
        <w:rFonts w:ascii="Symbol" w:hAnsi="Symbol" w:hint="default"/>
      </w:rPr>
    </w:lvl>
    <w:lvl w:ilvl="1" w:tplc="06FE9B26">
      <w:start w:val="1"/>
      <w:numFmt w:val="bullet"/>
      <w:lvlText w:val="o"/>
      <w:lvlJc w:val="left"/>
      <w:pPr>
        <w:ind w:left="1440" w:hanging="360"/>
      </w:pPr>
      <w:rPr>
        <w:rFonts w:ascii="Courier New" w:hAnsi="Courier New" w:hint="default"/>
      </w:rPr>
    </w:lvl>
    <w:lvl w:ilvl="2" w:tplc="67E2B0C8">
      <w:start w:val="1"/>
      <w:numFmt w:val="bullet"/>
      <w:lvlText w:val=""/>
      <w:lvlJc w:val="left"/>
      <w:pPr>
        <w:ind w:left="2160" w:hanging="360"/>
      </w:pPr>
      <w:rPr>
        <w:rFonts w:ascii="Wingdings" w:hAnsi="Wingdings" w:hint="default"/>
      </w:rPr>
    </w:lvl>
    <w:lvl w:ilvl="3" w:tplc="73C0EBDC">
      <w:start w:val="1"/>
      <w:numFmt w:val="bullet"/>
      <w:lvlText w:val=""/>
      <w:lvlJc w:val="left"/>
      <w:pPr>
        <w:ind w:left="2880" w:hanging="360"/>
      </w:pPr>
      <w:rPr>
        <w:rFonts w:ascii="Symbol" w:hAnsi="Symbol" w:hint="default"/>
      </w:rPr>
    </w:lvl>
    <w:lvl w:ilvl="4" w:tplc="EA044646">
      <w:start w:val="1"/>
      <w:numFmt w:val="bullet"/>
      <w:lvlText w:val="o"/>
      <w:lvlJc w:val="left"/>
      <w:pPr>
        <w:ind w:left="3600" w:hanging="360"/>
      </w:pPr>
      <w:rPr>
        <w:rFonts w:ascii="Courier New" w:hAnsi="Courier New" w:hint="default"/>
      </w:rPr>
    </w:lvl>
    <w:lvl w:ilvl="5" w:tplc="61F6B3B6">
      <w:start w:val="1"/>
      <w:numFmt w:val="bullet"/>
      <w:lvlText w:val=""/>
      <w:lvlJc w:val="left"/>
      <w:pPr>
        <w:ind w:left="4320" w:hanging="360"/>
      </w:pPr>
      <w:rPr>
        <w:rFonts w:ascii="Wingdings" w:hAnsi="Wingdings" w:hint="default"/>
      </w:rPr>
    </w:lvl>
    <w:lvl w:ilvl="6" w:tplc="D75EB5FC">
      <w:start w:val="1"/>
      <w:numFmt w:val="bullet"/>
      <w:lvlText w:val=""/>
      <w:lvlJc w:val="left"/>
      <w:pPr>
        <w:ind w:left="5040" w:hanging="360"/>
      </w:pPr>
      <w:rPr>
        <w:rFonts w:ascii="Symbol" w:hAnsi="Symbol" w:hint="default"/>
      </w:rPr>
    </w:lvl>
    <w:lvl w:ilvl="7" w:tplc="FF621774">
      <w:start w:val="1"/>
      <w:numFmt w:val="bullet"/>
      <w:lvlText w:val="o"/>
      <w:lvlJc w:val="left"/>
      <w:pPr>
        <w:ind w:left="5760" w:hanging="360"/>
      </w:pPr>
      <w:rPr>
        <w:rFonts w:ascii="Courier New" w:hAnsi="Courier New" w:hint="default"/>
      </w:rPr>
    </w:lvl>
    <w:lvl w:ilvl="8" w:tplc="20E08072">
      <w:start w:val="1"/>
      <w:numFmt w:val="bullet"/>
      <w:lvlText w:val=""/>
      <w:lvlJc w:val="left"/>
      <w:pPr>
        <w:ind w:left="6480" w:hanging="360"/>
      </w:pPr>
      <w:rPr>
        <w:rFonts w:ascii="Wingdings" w:hAnsi="Wingdings" w:hint="default"/>
      </w:rPr>
    </w:lvl>
  </w:abstractNum>
  <w:abstractNum w:abstractNumId="31" w15:restartNumberingAfterBreak="0">
    <w:nsid w:val="762D6722"/>
    <w:multiLevelType w:val="hybridMultilevel"/>
    <w:tmpl w:val="7C5C5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E45A2C"/>
    <w:multiLevelType w:val="multilevel"/>
    <w:tmpl w:val="3A4855FA"/>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num w:numId="1">
    <w:abstractNumId w:val="11"/>
  </w:num>
  <w:num w:numId="2">
    <w:abstractNumId w:val="12"/>
  </w:num>
  <w:num w:numId="3">
    <w:abstractNumId w:val="2"/>
  </w:num>
  <w:num w:numId="4">
    <w:abstractNumId w:val="28"/>
  </w:num>
  <w:num w:numId="5">
    <w:abstractNumId w:val="8"/>
  </w:num>
  <w:num w:numId="6">
    <w:abstractNumId w:val="17"/>
  </w:num>
  <w:num w:numId="7">
    <w:abstractNumId w:val="19"/>
  </w:num>
  <w:num w:numId="8">
    <w:abstractNumId w:val="30"/>
  </w:num>
  <w:num w:numId="9">
    <w:abstractNumId w:val="26"/>
  </w:num>
  <w:num w:numId="10">
    <w:abstractNumId w:val="3"/>
  </w:num>
  <w:num w:numId="11">
    <w:abstractNumId w:val="15"/>
  </w:num>
  <w:num w:numId="12">
    <w:abstractNumId w:val="23"/>
  </w:num>
  <w:num w:numId="13">
    <w:abstractNumId w:val="1"/>
  </w:num>
  <w:num w:numId="14">
    <w:abstractNumId w:val="29"/>
  </w:num>
  <w:num w:numId="15">
    <w:abstractNumId w:val="14"/>
  </w:num>
  <w:num w:numId="16">
    <w:abstractNumId w:val="27"/>
  </w:num>
  <w:num w:numId="17">
    <w:abstractNumId w:val="4"/>
  </w:num>
  <w:num w:numId="18">
    <w:abstractNumId w:val="24"/>
  </w:num>
  <w:num w:numId="19">
    <w:abstractNumId w:val="5"/>
  </w:num>
  <w:num w:numId="20">
    <w:abstractNumId w:val="22"/>
  </w:num>
  <w:num w:numId="21">
    <w:abstractNumId w:val="32"/>
  </w:num>
  <w:num w:numId="22">
    <w:abstractNumId w:val="31"/>
  </w:num>
  <w:num w:numId="23">
    <w:abstractNumId w:val="25"/>
  </w:num>
  <w:num w:numId="24">
    <w:abstractNumId w:val="6"/>
  </w:num>
  <w:num w:numId="25">
    <w:abstractNumId w:val="7"/>
  </w:num>
  <w:num w:numId="26">
    <w:abstractNumId w:val="21"/>
  </w:num>
  <w:num w:numId="27">
    <w:abstractNumId w:val="10"/>
  </w:num>
  <w:num w:numId="28">
    <w:abstractNumId w:val="13"/>
  </w:num>
  <w:num w:numId="29">
    <w:abstractNumId w:val="0"/>
  </w:num>
  <w:num w:numId="30">
    <w:abstractNumId w:val="16"/>
  </w:num>
  <w:num w:numId="31">
    <w:abstractNumId w:val="20"/>
  </w:num>
  <w:num w:numId="32">
    <w:abstractNumId w:val="1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02"/>
    <w:rsid w:val="0000044C"/>
    <w:rsid w:val="00007954"/>
    <w:rsid w:val="00015B15"/>
    <w:rsid w:val="000173A0"/>
    <w:rsid w:val="00021599"/>
    <w:rsid w:val="00021FFB"/>
    <w:rsid w:val="00023587"/>
    <w:rsid w:val="00024CE3"/>
    <w:rsid w:val="00024DCC"/>
    <w:rsid w:val="000275A3"/>
    <w:rsid w:val="0003056F"/>
    <w:rsid w:val="00031B76"/>
    <w:rsid w:val="000336A5"/>
    <w:rsid w:val="00044CCF"/>
    <w:rsid w:val="00044E2E"/>
    <w:rsid w:val="00050712"/>
    <w:rsid w:val="000507EF"/>
    <w:rsid w:val="00050DFC"/>
    <w:rsid w:val="00053066"/>
    <w:rsid w:val="000559EF"/>
    <w:rsid w:val="00055EA9"/>
    <w:rsid w:val="0006239A"/>
    <w:rsid w:val="00062763"/>
    <w:rsid w:val="000673C9"/>
    <w:rsid w:val="0007110F"/>
    <w:rsid w:val="000714F4"/>
    <w:rsid w:val="00074250"/>
    <w:rsid w:val="000853C3"/>
    <w:rsid w:val="000866C1"/>
    <w:rsid w:val="00087100"/>
    <w:rsid w:val="000911FC"/>
    <w:rsid w:val="00097021"/>
    <w:rsid w:val="000A502E"/>
    <w:rsid w:val="000A63D9"/>
    <w:rsid w:val="000A7848"/>
    <w:rsid w:val="000A793C"/>
    <w:rsid w:val="000C1116"/>
    <w:rsid w:val="000C33D6"/>
    <w:rsid w:val="000C4558"/>
    <w:rsid w:val="000C4B46"/>
    <w:rsid w:val="000C53F8"/>
    <w:rsid w:val="000D387C"/>
    <w:rsid w:val="000E0C03"/>
    <w:rsid w:val="000E1F42"/>
    <w:rsid w:val="000E46B1"/>
    <w:rsid w:val="000E7A41"/>
    <w:rsid w:val="000F06C3"/>
    <w:rsid w:val="000F1259"/>
    <w:rsid w:val="000F148A"/>
    <w:rsid w:val="000F3CC2"/>
    <w:rsid w:val="000F416C"/>
    <w:rsid w:val="001004B6"/>
    <w:rsid w:val="001022CE"/>
    <w:rsid w:val="00103FE0"/>
    <w:rsid w:val="00110C66"/>
    <w:rsid w:val="00115CEE"/>
    <w:rsid w:val="00124067"/>
    <w:rsid w:val="0012645B"/>
    <w:rsid w:val="0012745B"/>
    <w:rsid w:val="00127935"/>
    <w:rsid w:val="001300B4"/>
    <w:rsid w:val="00132D60"/>
    <w:rsid w:val="001360E8"/>
    <w:rsid w:val="00137CAC"/>
    <w:rsid w:val="00142192"/>
    <w:rsid w:val="001453A2"/>
    <w:rsid w:val="00146D48"/>
    <w:rsid w:val="00150BE5"/>
    <w:rsid w:val="001555C4"/>
    <w:rsid w:val="00164FC0"/>
    <w:rsid w:val="00165670"/>
    <w:rsid w:val="00166220"/>
    <w:rsid w:val="00166B44"/>
    <w:rsid w:val="001679BC"/>
    <w:rsid w:val="0017204B"/>
    <w:rsid w:val="0017256D"/>
    <w:rsid w:val="00180670"/>
    <w:rsid w:val="00181F65"/>
    <w:rsid w:val="0018580E"/>
    <w:rsid w:val="00187D9A"/>
    <w:rsid w:val="00197DE0"/>
    <w:rsid w:val="001A1832"/>
    <w:rsid w:val="001A53A1"/>
    <w:rsid w:val="001A6AB3"/>
    <w:rsid w:val="001B25CD"/>
    <w:rsid w:val="001B40DF"/>
    <w:rsid w:val="001B5AE8"/>
    <w:rsid w:val="001B7537"/>
    <w:rsid w:val="001C00B4"/>
    <w:rsid w:val="001C3DA5"/>
    <w:rsid w:val="001C5048"/>
    <w:rsid w:val="001C64A8"/>
    <w:rsid w:val="001C6D6C"/>
    <w:rsid w:val="001D0E5D"/>
    <w:rsid w:val="001D379E"/>
    <w:rsid w:val="001D7804"/>
    <w:rsid w:val="001E448B"/>
    <w:rsid w:val="001E51E3"/>
    <w:rsid w:val="001E6F5C"/>
    <w:rsid w:val="001F430C"/>
    <w:rsid w:val="0020006A"/>
    <w:rsid w:val="00200AAD"/>
    <w:rsid w:val="002030F7"/>
    <w:rsid w:val="00204FA4"/>
    <w:rsid w:val="00205CCD"/>
    <w:rsid w:val="002069CB"/>
    <w:rsid w:val="00206F85"/>
    <w:rsid w:val="002107E1"/>
    <w:rsid w:val="00212324"/>
    <w:rsid w:val="002136F0"/>
    <w:rsid w:val="00213C2D"/>
    <w:rsid w:val="002231D1"/>
    <w:rsid w:val="00227FEA"/>
    <w:rsid w:val="00232455"/>
    <w:rsid w:val="0023336E"/>
    <w:rsid w:val="0023739D"/>
    <w:rsid w:val="002420F9"/>
    <w:rsid w:val="00246207"/>
    <w:rsid w:val="00250A92"/>
    <w:rsid w:val="00250AD0"/>
    <w:rsid w:val="00254326"/>
    <w:rsid w:val="00262350"/>
    <w:rsid w:val="002631DF"/>
    <w:rsid w:val="00273F0E"/>
    <w:rsid w:val="0027460B"/>
    <w:rsid w:val="00276D9C"/>
    <w:rsid w:val="002803EE"/>
    <w:rsid w:val="002837C3"/>
    <w:rsid w:val="00283E70"/>
    <w:rsid w:val="00286DD9"/>
    <w:rsid w:val="002906F5"/>
    <w:rsid w:val="0029259B"/>
    <w:rsid w:val="00292FC7"/>
    <w:rsid w:val="002932BB"/>
    <w:rsid w:val="00293D75"/>
    <w:rsid w:val="0029724C"/>
    <w:rsid w:val="002A0BFC"/>
    <w:rsid w:val="002A1D8F"/>
    <w:rsid w:val="002A2FC1"/>
    <w:rsid w:val="002B1517"/>
    <w:rsid w:val="002B3E3F"/>
    <w:rsid w:val="002B6960"/>
    <w:rsid w:val="002B6BA2"/>
    <w:rsid w:val="002C110A"/>
    <w:rsid w:val="002C37C3"/>
    <w:rsid w:val="002C7205"/>
    <w:rsid w:val="002D057D"/>
    <w:rsid w:val="002D3F04"/>
    <w:rsid w:val="002D63C5"/>
    <w:rsid w:val="002E029C"/>
    <w:rsid w:val="002E0A75"/>
    <w:rsid w:val="002E4165"/>
    <w:rsid w:val="002E5A42"/>
    <w:rsid w:val="002E6DC7"/>
    <w:rsid w:val="002F1BAB"/>
    <w:rsid w:val="002F2B41"/>
    <w:rsid w:val="002F3124"/>
    <w:rsid w:val="002F3900"/>
    <w:rsid w:val="002F487B"/>
    <w:rsid w:val="002F4E49"/>
    <w:rsid w:val="002F5CEC"/>
    <w:rsid w:val="002F6416"/>
    <w:rsid w:val="002F66A0"/>
    <w:rsid w:val="002F7B2A"/>
    <w:rsid w:val="00300E38"/>
    <w:rsid w:val="003014AE"/>
    <w:rsid w:val="003025CB"/>
    <w:rsid w:val="00303968"/>
    <w:rsid w:val="00312300"/>
    <w:rsid w:val="00316901"/>
    <w:rsid w:val="00321FAC"/>
    <w:rsid w:val="003234BC"/>
    <w:rsid w:val="003241B1"/>
    <w:rsid w:val="003252E1"/>
    <w:rsid w:val="003303FF"/>
    <w:rsid w:val="00330EF5"/>
    <w:rsid w:val="00331879"/>
    <w:rsid w:val="00343526"/>
    <w:rsid w:val="00346865"/>
    <w:rsid w:val="0035100B"/>
    <w:rsid w:val="003517AF"/>
    <w:rsid w:val="00353C80"/>
    <w:rsid w:val="00354B74"/>
    <w:rsid w:val="00360CCA"/>
    <w:rsid w:val="00361DFA"/>
    <w:rsid w:val="00366AC0"/>
    <w:rsid w:val="00373F76"/>
    <w:rsid w:val="003748CA"/>
    <w:rsid w:val="00376912"/>
    <w:rsid w:val="003807F5"/>
    <w:rsid w:val="00380DF1"/>
    <w:rsid w:val="003816A2"/>
    <w:rsid w:val="003823E1"/>
    <w:rsid w:val="00383E65"/>
    <w:rsid w:val="00385C66"/>
    <w:rsid w:val="0038647E"/>
    <w:rsid w:val="003877C1"/>
    <w:rsid w:val="00391B46"/>
    <w:rsid w:val="003927A5"/>
    <w:rsid w:val="003934EE"/>
    <w:rsid w:val="00397586"/>
    <w:rsid w:val="003A7E1D"/>
    <w:rsid w:val="003B492C"/>
    <w:rsid w:val="003C3F5D"/>
    <w:rsid w:val="003C63BC"/>
    <w:rsid w:val="003C7A7B"/>
    <w:rsid w:val="003C7C27"/>
    <w:rsid w:val="003E3361"/>
    <w:rsid w:val="003E352A"/>
    <w:rsid w:val="003E4963"/>
    <w:rsid w:val="003F1D39"/>
    <w:rsid w:val="0040306F"/>
    <w:rsid w:val="00405B89"/>
    <w:rsid w:val="00410091"/>
    <w:rsid w:val="0041513E"/>
    <w:rsid w:val="004166F8"/>
    <w:rsid w:val="00421E29"/>
    <w:rsid w:val="004252BE"/>
    <w:rsid w:val="00425FC8"/>
    <w:rsid w:val="00426CEF"/>
    <w:rsid w:val="004442FA"/>
    <w:rsid w:val="004511B3"/>
    <w:rsid w:val="00455094"/>
    <w:rsid w:val="0045657C"/>
    <w:rsid w:val="0047039E"/>
    <w:rsid w:val="004705C7"/>
    <w:rsid w:val="00476466"/>
    <w:rsid w:val="0047706A"/>
    <w:rsid w:val="004800D6"/>
    <w:rsid w:val="004838A4"/>
    <w:rsid w:val="0048498B"/>
    <w:rsid w:val="004870B1"/>
    <w:rsid w:val="004874C5"/>
    <w:rsid w:val="004915DD"/>
    <w:rsid w:val="00491DBB"/>
    <w:rsid w:val="00492BAA"/>
    <w:rsid w:val="004952C9"/>
    <w:rsid w:val="00497381"/>
    <w:rsid w:val="004A45A2"/>
    <w:rsid w:val="004B04E9"/>
    <w:rsid w:val="004B0C32"/>
    <w:rsid w:val="004B4D52"/>
    <w:rsid w:val="004C04BA"/>
    <w:rsid w:val="004C1F11"/>
    <w:rsid w:val="004C210D"/>
    <w:rsid w:val="004C4C69"/>
    <w:rsid w:val="004C757F"/>
    <w:rsid w:val="004D7E5B"/>
    <w:rsid w:val="004E0D69"/>
    <w:rsid w:val="004E1E1E"/>
    <w:rsid w:val="004E1EC7"/>
    <w:rsid w:val="004F1A78"/>
    <w:rsid w:val="004F247D"/>
    <w:rsid w:val="004F6763"/>
    <w:rsid w:val="004F6E8A"/>
    <w:rsid w:val="00506471"/>
    <w:rsid w:val="00506838"/>
    <w:rsid w:val="005113EE"/>
    <w:rsid w:val="00516404"/>
    <w:rsid w:val="00521C5D"/>
    <w:rsid w:val="00522AD7"/>
    <w:rsid w:val="0052407A"/>
    <w:rsid w:val="0052677C"/>
    <w:rsid w:val="005316E7"/>
    <w:rsid w:val="005317B0"/>
    <w:rsid w:val="005319B5"/>
    <w:rsid w:val="005319EA"/>
    <w:rsid w:val="0053285F"/>
    <w:rsid w:val="00533AA1"/>
    <w:rsid w:val="005351FE"/>
    <w:rsid w:val="00537313"/>
    <w:rsid w:val="00541090"/>
    <w:rsid w:val="00553141"/>
    <w:rsid w:val="00557E53"/>
    <w:rsid w:val="005649D9"/>
    <w:rsid w:val="00565008"/>
    <w:rsid w:val="0056627B"/>
    <w:rsid w:val="005676D3"/>
    <w:rsid w:val="005767DA"/>
    <w:rsid w:val="00582886"/>
    <w:rsid w:val="00586018"/>
    <w:rsid w:val="005B006A"/>
    <w:rsid w:val="005B3CC0"/>
    <w:rsid w:val="005B46D7"/>
    <w:rsid w:val="005B4A9C"/>
    <w:rsid w:val="005C0326"/>
    <w:rsid w:val="005C090A"/>
    <w:rsid w:val="005C1859"/>
    <w:rsid w:val="005C196C"/>
    <w:rsid w:val="005C3371"/>
    <w:rsid w:val="005C38A9"/>
    <w:rsid w:val="005D016C"/>
    <w:rsid w:val="005D0D4A"/>
    <w:rsid w:val="005D26EC"/>
    <w:rsid w:val="005E08DC"/>
    <w:rsid w:val="005E7472"/>
    <w:rsid w:val="005E7C9F"/>
    <w:rsid w:val="005F1AEA"/>
    <w:rsid w:val="005F4978"/>
    <w:rsid w:val="005F4CC7"/>
    <w:rsid w:val="005F5D4E"/>
    <w:rsid w:val="005F635A"/>
    <w:rsid w:val="005F6F9D"/>
    <w:rsid w:val="006034FC"/>
    <w:rsid w:val="00606309"/>
    <w:rsid w:val="006077DA"/>
    <w:rsid w:val="00610DE7"/>
    <w:rsid w:val="006208A4"/>
    <w:rsid w:val="00621DE8"/>
    <w:rsid w:val="006223AD"/>
    <w:rsid w:val="006223E1"/>
    <w:rsid w:val="00623B67"/>
    <w:rsid w:val="00641C3C"/>
    <w:rsid w:val="00642935"/>
    <w:rsid w:val="00646733"/>
    <w:rsid w:val="00646E09"/>
    <w:rsid w:val="00653F41"/>
    <w:rsid w:val="00654651"/>
    <w:rsid w:val="00654DB1"/>
    <w:rsid w:val="00656960"/>
    <w:rsid w:val="00675812"/>
    <w:rsid w:val="00683B9C"/>
    <w:rsid w:val="00683F46"/>
    <w:rsid w:val="00684114"/>
    <w:rsid w:val="00687693"/>
    <w:rsid w:val="00691CFB"/>
    <w:rsid w:val="00694492"/>
    <w:rsid w:val="00696218"/>
    <w:rsid w:val="006972A5"/>
    <w:rsid w:val="00697DC0"/>
    <w:rsid w:val="006A4DDB"/>
    <w:rsid w:val="006B054F"/>
    <w:rsid w:val="006B1E7B"/>
    <w:rsid w:val="006C022A"/>
    <w:rsid w:val="006C0481"/>
    <w:rsid w:val="006C1A4C"/>
    <w:rsid w:val="006C2A23"/>
    <w:rsid w:val="006C59D5"/>
    <w:rsid w:val="006C7C17"/>
    <w:rsid w:val="006D0E43"/>
    <w:rsid w:val="006D138B"/>
    <w:rsid w:val="006D69A4"/>
    <w:rsid w:val="006F4CF7"/>
    <w:rsid w:val="00700513"/>
    <w:rsid w:val="00700AA3"/>
    <w:rsid w:val="00703811"/>
    <w:rsid w:val="007056CA"/>
    <w:rsid w:val="0070685F"/>
    <w:rsid w:val="007171E1"/>
    <w:rsid w:val="00717219"/>
    <w:rsid w:val="00724A04"/>
    <w:rsid w:val="00725A58"/>
    <w:rsid w:val="007275E6"/>
    <w:rsid w:val="007304B4"/>
    <w:rsid w:val="00732151"/>
    <w:rsid w:val="00732449"/>
    <w:rsid w:val="00733D26"/>
    <w:rsid w:val="007375AB"/>
    <w:rsid w:val="00744991"/>
    <w:rsid w:val="00747977"/>
    <w:rsid w:val="0075239C"/>
    <w:rsid w:val="00753B40"/>
    <w:rsid w:val="0076232A"/>
    <w:rsid w:val="0076534A"/>
    <w:rsid w:val="00765920"/>
    <w:rsid w:val="00767D31"/>
    <w:rsid w:val="00781DBF"/>
    <w:rsid w:val="0078408B"/>
    <w:rsid w:val="00784C0D"/>
    <w:rsid w:val="007853FD"/>
    <w:rsid w:val="0079036B"/>
    <w:rsid w:val="0079797D"/>
    <w:rsid w:val="007A5241"/>
    <w:rsid w:val="007A62EA"/>
    <w:rsid w:val="007B28DD"/>
    <w:rsid w:val="007B299E"/>
    <w:rsid w:val="007B5F01"/>
    <w:rsid w:val="007C3BF5"/>
    <w:rsid w:val="007C49C9"/>
    <w:rsid w:val="007C76C4"/>
    <w:rsid w:val="007D6CD7"/>
    <w:rsid w:val="007F7EBC"/>
    <w:rsid w:val="00801A82"/>
    <w:rsid w:val="00801E19"/>
    <w:rsid w:val="00801F06"/>
    <w:rsid w:val="00803322"/>
    <w:rsid w:val="00805BE8"/>
    <w:rsid w:val="00806D6E"/>
    <w:rsid w:val="008071AB"/>
    <w:rsid w:val="008075B4"/>
    <w:rsid w:val="00810425"/>
    <w:rsid w:val="008109A4"/>
    <w:rsid w:val="00813622"/>
    <w:rsid w:val="00813A2C"/>
    <w:rsid w:val="00814508"/>
    <w:rsid w:val="008233F0"/>
    <w:rsid w:val="008349B3"/>
    <w:rsid w:val="00841B82"/>
    <w:rsid w:val="00843A9D"/>
    <w:rsid w:val="00854BAE"/>
    <w:rsid w:val="00855492"/>
    <w:rsid w:val="00860226"/>
    <w:rsid w:val="008673D6"/>
    <w:rsid w:val="0086765C"/>
    <w:rsid w:val="00875CB7"/>
    <w:rsid w:val="00887FE8"/>
    <w:rsid w:val="008905F6"/>
    <w:rsid w:val="00891B32"/>
    <w:rsid w:val="008A0F99"/>
    <w:rsid w:val="008A3858"/>
    <w:rsid w:val="008A5A2A"/>
    <w:rsid w:val="008B11A0"/>
    <w:rsid w:val="008B22F4"/>
    <w:rsid w:val="008B57DC"/>
    <w:rsid w:val="008B7266"/>
    <w:rsid w:val="008B764B"/>
    <w:rsid w:val="008B78A6"/>
    <w:rsid w:val="008B7AEE"/>
    <w:rsid w:val="008C3C3B"/>
    <w:rsid w:val="008C7320"/>
    <w:rsid w:val="008C7759"/>
    <w:rsid w:val="008D6CB8"/>
    <w:rsid w:val="008E0F8E"/>
    <w:rsid w:val="008E269E"/>
    <w:rsid w:val="008E2B1A"/>
    <w:rsid w:val="008E2EE5"/>
    <w:rsid w:val="008E4F00"/>
    <w:rsid w:val="008F1407"/>
    <w:rsid w:val="008F28B7"/>
    <w:rsid w:val="008F2D4D"/>
    <w:rsid w:val="008F79D4"/>
    <w:rsid w:val="00900968"/>
    <w:rsid w:val="00901D81"/>
    <w:rsid w:val="00904313"/>
    <w:rsid w:val="0090635C"/>
    <w:rsid w:val="00911838"/>
    <w:rsid w:val="00914DD2"/>
    <w:rsid w:val="00915F31"/>
    <w:rsid w:val="00917D0E"/>
    <w:rsid w:val="00920ED7"/>
    <w:rsid w:val="0092220E"/>
    <w:rsid w:val="009249A4"/>
    <w:rsid w:val="009325E6"/>
    <w:rsid w:val="00933A19"/>
    <w:rsid w:val="00945157"/>
    <w:rsid w:val="00945189"/>
    <w:rsid w:val="00950694"/>
    <w:rsid w:val="00953769"/>
    <w:rsid w:val="0095601C"/>
    <w:rsid w:val="00957B50"/>
    <w:rsid w:val="00957E08"/>
    <w:rsid w:val="00970F82"/>
    <w:rsid w:val="009719E0"/>
    <w:rsid w:val="00985EB7"/>
    <w:rsid w:val="00987FDA"/>
    <w:rsid w:val="00992528"/>
    <w:rsid w:val="0099519D"/>
    <w:rsid w:val="009970E5"/>
    <w:rsid w:val="009A0E81"/>
    <w:rsid w:val="009B15A1"/>
    <w:rsid w:val="009B1D5B"/>
    <w:rsid w:val="009B6A98"/>
    <w:rsid w:val="009B7AAB"/>
    <w:rsid w:val="009C2635"/>
    <w:rsid w:val="009C569E"/>
    <w:rsid w:val="009D17F2"/>
    <w:rsid w:val="009D3A48"/>
    <w:rsid w:val="009D3FF0"/>
    <w:rsid w:val="009D7830"/>
    <w:rsid w:val="009D7FFB"/>
    <w:rsid w:val="009E3D9F"/>
    <w:rsid w:val="009E6384"/>
    <w:rsid w:val="009F206F"/>
    <w:rsid w:val="009F4896"/>
    <w:rsid w:val="00A007A7"/>
    <w:rsid w:val="00A00964"/>
    <w:rsid w:val="00A04F01"/>
    <w:rsid w:val="00A05435"/>
    <w:rsid w:val="00A11825"/>
    <w:rsid w:val="00A179C3"/>
    <w:rsid w:val="00A21060"/>
    <w:rsid w:val="00A22DF4"/>
    <w:rsid w:val="00A234A7"/>
    <w:rsid w:val="00A23A58"/>
    <w:rsid w:val="00A3051C"/>
    <w:rsid w:val="00A310DA"/>
    <w:rsid w:val="00A323EF"/>
    <w:rsid w:val="00A33424"/>
    <w:rsid w:val="00A418AE"/>
    <w:rsid w:val="00A44CD7"/>
    <w:rsid w:val="00A46445"/>
    <w:rsid w:val="00A501AD"/>
    <w:rsid w:val="00A557F1"/>
    <w:rsid w:val="00A5621A"/>
    <w:rsid w:val="00A645E2"/>
    <w:rsid w:val="00A656CC"/>
    <w:rsid w:val="00A676DE"/>
    <w:rsid w:val="00A71B6B"/>
    <w:rsid w:val="00A72286"/>
    <w:rsid w:val="00A751A8"/>
    <w:rsid w:val="00A832E2"/>
    <w:rsid w:val="00A92622"/>
    <w:rsid w:val="00AA0A3A"/>
    <w:rsid w:val="00AA639D"/>
    <w:rsid w:val="00AA6B61"/>
    <w:rsid w:val="00AA6E30"/>
    <w:rsid w:val="00AB6443"/>
    <w:rsid w:val="00AC1005"/>
    <w:rsid w:val="00AC114E"/>
    <w:rsid w:val="00AC64E0"/>
    <w:rsid w:val="00AC79DD"/>
    <w:rsid w:val="00AD036F"/>
    <w:rsid w:val="00AD5F9D"/>
    <w:rsid w:val="00AE0058"/>
    <w:rsid w:val="00AE0EEA"/>
    <w:rsid w:val="00AE1934"/>
    <w:rsid w:val="00AE44F3"/>
    <w:rsid w:val="00AE5005"/>
    <w:rsid w:val="00AF121F"/>
    <w:rsid w:val="00AF5616"/>
    <w:rsid w:val="00AF76AC"/>
    <w:rsid w:val="00B01AF6"/>
    <w:rsid w:val="00B025D6"/>
    <w:rsid w:val="00B03795"/>
    <w:rsid w:val="00B06AE7"/>
    <w:rsid w:val="00B10324"/>
    <w:rsid w:val="00B10908"/>
    <w:rsid w:val="00B1218D"/>
    <w:rsid w:val="00B12582"/>
    <w:rsid w:val="00B12AE4"/>
    <w:rsid w:val="00B134DC"/>
    <w:rsid w:val="00B17A30"/>
    <w:rsid w:val="00B20395"/>
    <w:rsid w:val="00B20BF1"/>
    <w:rsid w:val="00B2492E"/>
    <w:rsid w:val="00B25015"/>
    <w:rsid w:val="00B2588F"/>
    <w:rsid w:val="00B25B19"/>
    <w:rsid w:val="00B32391"/>
    <w:rsid w:val="00B435F2"/>
    <w:rsid w:val="00B5534E"/>
    <w:rsid w:val="00B558D5"/>
    <w:rsid w:val="00B621AC"/>
    <w:rsid w:val="00B64A7A"/>
    <w:rsid w:val="00B70736"/>
    <w:rsid w:val="00B71CE7"/>
    <w:rsid w:val="00B831FD"/>
    <w:rsid w:val="00B84FAC"/>
    <w:rsid w:val="00B93DD1"/>
    <w:rsid w:val="00B94008"/>
    <w:rsid w:val="00B95D77"/>
    <w:rsid w:val="00BA0616"/>
    <w:rsid w:val="00BA4858"/>
    <w:rsid w:val="00BB20AC"/>
    <w:rsid w:val="00BB49D6"/>
    <w:rsid w:val="00BC0D8F"/>
    <w:rsid w:val="00BC153E"/>
    <w:rsid w:val="00BC1671"/>
    <w:rsid w:val="00BC2902"/>
    <w:rsid w:val="00BC3A83"/>
    <w:rsid w:val="00BC3F41"/>
    <w:rsid w:val="00BC74EC"/>
    <w:rsid w:val="00BC776B"/>
    <w:rsid w:val="00BC7D9B"/>
    <w:rsid w:val="00BD11D6"/>
    <w:rsid w:val="00BD2954"/>
    <w:rsid w:val="00BE53FB"/>
    <w:rsid w:val="00BE6F44"/>
    <w:rsid w:val="00BE79E6"/>
    <w:rsid w:val="00BF56C1"/>
    <w:rsid w:val="00BF7C42"/>
    <w:rsid w:val="00C03E3E"/>
    <w:rsid w:val="00C04F0A"/>
    <w:rsid w:val="00C063A7"/>
    <w:rsid w:val="00C1111F"/>
    <w:rsid w:val="00C228EB"/>
    <w:rsid w:val="00C22B0C"/>
    <w:rsid w:val="00C27223"/>
    <w:rsid w:val="00C310AE"/>
    <w:rsid w:val="00C330A7"/>
    <w:rsid w:val="00C3732F"/>
    <w:rsid w:val="00C40723"/>
    <w:rsid w:val="00C408FD"/>
    <w:rsid w:val="00C410F8"/>
    <w:rsid w:val="00C41DF3"/>
    <w:rsid w:val="00C52D22"/>
    <w:rsid w:val="00C5677D"/>
    <w:rsid w:val="00C60759"/>
    <w:rsid w:val="00C60823"/>
    <w:rsid w:val="00C6552D"/>
    <w:rsid w:val="00C676F3"/>
    <w:rsid w:val="00C70942"/>
    <w:rsid w:val="00C719B7"/>
    <w:rsid w:val="00C7523F"/>
    <w:rsid w:val="00C810AE"/>
    <w:rsid w:val="00C828AC"/>
    <w:rsid w:val="00C83BDF"/>
    <w:rsid w:val="00C87F84"/>
    <w:rsid w:val="00C917E1"/>
    <w:rsid w:val="00C919E2"/>
    <w:rsid w:val="00C935F8"/>
    <w:rsid w:val="00C93B84"/>
    <w:rsid w:val="00C941FC"/>
    <w:rsid w:val="00C943BF"/>
    <w:rsid w:val="00C95EC6"/>
    <w:rsid w:val="00CA705F"/>
    <w:rsid w:val="00CA722E"/>
    <w:rsid w:val="00CB047C"/>
    <w:rsid w:val="00CB216A"/>
    <w:rsid w:val="00CB6955"/>
    <w:rsid w:val="00CC096A"/>
    <w:rsid w:val="00CC3F32"/>
    <w:rsid w:val="00CC40A8"/>
    <w:rsid w:val="00CC41F3"/>
    <w:rsid w:val="00CC57FE"/>
    <w:rsid w:val="00CD14B8"/>
    <w:rsid w:val="00CD19A3"/>
    <w:rsid w:val="00CD62D6"/>
    <w:rsid w:val="00CE1B13"/>
    <w:rsid w:val="00CE1FAD"/>
    <w:rsid w:val="00CE3DD2"/>
    <w:rsid w:val="00CF058C"/>
    <w:rsid w:val="00CF2D4E"/>
    <w:rsid w:val="00CF4A61"/>
    <w:rsid w:val="00CF6532"/>
    <w:rsid w:val="00CF7B7A"/>
    <w:rsid w:val="00D001A5"/>
    <w:rsid w:val="00D011CD"/>
    <w:rsid w:val="00D01454"/>
    <w:rsid w:val="00D058F1"/>
    <w:rsid w:val="00D109B6"/>
    <w:rsid w:val="00D16FF1"/>
    <w:rsid w:val="00D266FE"/>
    <w:rsid w:val="00D2735C"/>
    <w:rsid w:val="00D3063F"/>
    <w:rsid w:val="00D30F7D"/>
    <w:rsid w:val="00D334A1"/>
    <w:rsid w:val="00D36566"/>
    <w:rsid w:val="00D416D1"/>
    <w:rsid w:val="00D45EAA"/>
    <w:rsid w:val="00D477B7"/>
    <w:rsid w:val="00D5227D"/>
    <w:rsid w:val="00D53692"/>
    <w:rsid w:val="00D55196"/>
    <w:rsid w:val="00D724B4"/>
    <w:rsid w:val="00D725F9"/>
    <w:rsid w:val="00D72F4B"/>
    <w:rsid w:val="00D7365B"/>
    <w:rsid w:val="00D75248"/>
    <w:rsid w:val="00D75468"/>
    <w:rsid w:val="00D76D30"/>
    <w:rsid w:val="00D80A1C"/>
    <w:rsid w:val="00D817ED"/>
    <w:rsid w:val="00D90C60"/>
    <w:rsid w:val="00D92D57"/>
    <w:rsid w:val="00D9427D"/>
    <w:rsid w:val="00D96161"/>
    <w:rsid w:val="00D962F4"/>
    <w:rsid w:val="00DA4DA1"/>
    <w:rsid w:val="00DB1B68"/>
    <w:rsid w:val="00DB39AF"/>
    <w:rsid w:val="00DB5645"/>
    <w:rsid w:val="00DB61BF"/>
    <w:rsid w:val="00DB63A9"/>
    <w:rsid w:val="00DB66FD"/>
    <w:rsid w:val="00DB7EDF"/>
    <w:rsid w:val="00DC1B0B"/>
    <w:rsid w:val="00DC3F8C"/>
    <w:rsid w:val="00DC5703"/>
    <w:rsid w:val="00DC5D86"/>
    <w:rsid w:val="00DD1261"/>
    <w:rsid w:val="00DD694D"/>
    <w:rsid w:val="00DD6E9A"/>
    <w:rsid w:val="00DD7790"/>
    <w:rsid w:val="00DD79A5"/>
    <w:rsid w:val="00DE14D9"/>
    <w:rsid w:val="00DE6D63"/>
    <w:rsid w:val="00DF1406"/>
    <w:rsid w:val="00DF4698"/>
    <w:rsid w:val="00DF5064"/>
    <w:rsid w:val="00E03BD9"/>
    <w:rsid w:val="00E056F6"/>
    <w:rsid w:val="00E11030"/>
    <w:rsid w:val="00E17B64"/>
    <w:rsid w:val="00E266DC"/>
    <w:rsid w:val="00E364AA"/>
    <w:rsid w:val="00E4314E"/>
    <w:rsid w:val="00E4428C"/>
    <w:rsid w:val="00E4570C"/>
    <w:rsid w:val="00E5089C"/>
    <w:rsid w:val="00E50D7B"/>
    <w:rsid w:val="00E50EE4"/>
    <w:rsid w:val="00E6325B"/>
    <w:rsid w:val="00E63481"/>
    <w:rsid w:val="00E636EB"/>
    <w:rsid w:val="00E6589F"/>
    <w:rsid w:val="00E71897"/>
    <w:rsid w:val="00E73868"/>
    <w:rsid w:val="00E74A1D"/>
    <w:rsid w:val="00E74C54"/>
    <w:rsid w:val="00E80CAF"/>
    <w:rsid w:val="00E8206A"/>
    <w:rsid w:val="00E9365B"/>
    <w:rsid w:val="00EA7192"/>
    <w:rsid w:val="00EA731F"/>
    <w:rsid w:val="00EB3502"/>
    <w:rsid w:val="00EB41F7"/>
    <w:rsid w:val="00EB516F"/>
    <w:rsid w:val="00EC32E3"/>
    <w:rsid w:val="00EC5436"/>
    <w:rsid w:val="00ED1417"/>
    <w:rsid w:val="00ED1A0D"/>
    <w:rsid w:val="00ED1A59"/>
    <w:rsid w:val="00ED37E8"/>
    <w:rsid w:val="00ED432C"/>
    <w:rsid w:val="00ED43DD"/>
    <w:rsid w:val="00ED6DB5"/>
    <w:rsid w:val="00EE0757"/>
    <w:rsid w:val="00EE10F9"/>
    <w:rsid w:val="00EE3C2F"/>
    <w:rsid w:val="00EE44A4"/>
    <w:rsid w:val="00EF6F5F"/>
    <w:rsid w:val="00F0260E"/>
    <w:rsid w:val="00F02BB9"/>
    <w:rsid w:val="00F030EA"/>
    <w:rsid w:val="00F04619"/>
    <w:rsid w:val="00F057E0"/>
    <w:rsid w:val="00F12085"/>
    <w:rsid w:val="00F129F4"/>
    <w:rsid w:val="00F12AC4"/>
    <w:rsid w:val="00F13BF4"/>
    <w:rsid w:val="00F17145"/>
    <w:rsid w:val="00F20392"/>
    <w:rsid w:val="00F25DBD"/>
    <w:rsid w:val="00F30A6F"/>
    <w:rsid w:val="00F32F24"/>
    <w:rsid w:val="00F35988"/>
    <w:rsid w:val="00F36022"/>
    <w:rsid w:val="00F367BE"/>
    <w:rsid w:val="00F433C6"/>
    <w:rsid w:val="00F540A7"/>
    <w:rsid w:val="00F5559D"/>
    <w:rsid w:val="00F559FA"/>
    <w:rsid w:val="00F56332"/>
    <w:rsid w:val="00F74245"/>
    <w:rsid w:val="00F76F54"/>
    <w:rsid w:val="00F773BF"/>
    <w:rsid w:val="00F80690"/>
    <w:rsid w:val="00F807BE"/>
    <w:rsid w:val="00F86300"/>
    <w:rsid w:val="00F87832"/>
    <w:rsid w:val="00F909D6"/>
    <w:rsid w:val="00F90A37"/>
    <w:rsid w:val="00F90E67"/>
    <w:rsid w:val="00F913C0"/>
    <w:rsid w:val="00F94E3B"/>
    <w:rsid w:val="00F95C7F"/>
    <w:rsid w:val="00F9661D"/>
    <w:rsid w:val="00FA1BAC"/>
    <w:rsid w:val="00FA35D8"/>
    <w:rsid w:val="00FA3E92"/>
    <w:rsid w:val="00FA42DE"/>
    <w:rsid w:val="00FB11C5"/>
    <w:rsid w:val="00FB3F33"/>
    <w:rsid w:val="00FB7589"/>
    <w:rsid w:val="00FC0AC5"/>
    <w:rsid w:val="00FC2038"/>
    <w:rsid w:val="00FC39EF"/>
    <w:rsid w:val="00FC42A2"/>
    <w:rsid w:val="00FC4ABE"/>
    <w:rsid w:val="00FC6FD0"/>
    <w:rsid w:val="00FD3C99"/>
    <w:rsid w:val="00FE5B3C"/>
    <w:rsid w:val="00FE74D3"/>
    <w:rsid w:val="00FF0B6F"/>
    <w:rsid w:val="00FF2830"/>
    <w:rsid w:val="193DF9D0"/>
    <w:rsid w:val="1EBED5FF"/>
    <w:rsid w:val="399AF616"/>
    <w:rsid w:val="57D42859"/>
    <w:rsid w:val="5C62D6C4"/>
    <w:rsid w:val="6204DCB7"/>
    <w:rsid w:val="62CE0008"/>
    <w:rsid w:val="66BA92F1"/>
    <w:rsid w:val="7606C2D7"/>
    <w:rsid w:val="78F8DD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E9ACB"/>
  <w15:chartTrackingRefBased/>
  <w15:docId w15:val="{1AA48A44-FF4C-4972-B24F-3FC95D97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E92"/>
  </w:style>
  <w:style w:type="paragraph" w:styleId="Heading1">
    <w:name w:val="heading 1"/>
    <w:basedOn w:val="Normal"/>
    <w:next w:val="Normal"/>
    <w:link w:val="Heading1Char"/>
    <w:uiPriority w:val="9"/>
    <w:qFormat/>
    <w:rsid w:val="00D30F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1C3C"/>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641C3C"/>
    <w:pPr>
      <w:keepNext/>
      <w:keepLines/>
      <w:spacing w:before="160" w:after="120"/>
      <w:outlineLvl w:val="2"/>
    </w:pPr>
    <w:rPr>
      <w:rFonts w:asciiTheme="majorHAnsi" w:eastAsiaTheme="majorEastAsia" w:hAnsiTheme="majorHAnsi" w:cstheme="majorBidi"/>
      <w:color w:val="1F3763" w:themeColor="accent1" w:themeShade="7F"/>
      <w:sz w:val="28"/>
      <w:szCs w:val="24"/>
    </w:rPr>
  </w:style>
  <w:style w:type="paragraph" w:styleId="Heading4">
    <w:name w:val="heading 4"/>
    <w:basedOn w:val="Normal"/>
    <w:next w:val="Normal"/>
    <w:link w:val="Heading4Char"/>
    <w:uiPriority w:val="9"/>
    <w:unhideWhenUsed/>
    <w:qFormat/>
    <w:rsid w:val="00C373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90A"/>
    <w:rPr>
      <w:color w:val="0563C1" w:themeColor="hyperlink"/>
      <w:u w:val="single"/>
    </w:rPr>
  </w:style>
  <w:style w:type="paragraph" w:styleId="FootnoteText">
    <w:name w:val="footnote text"/>
    <w:basedOn w:val="Normal"/>
    <w:link w:val="FootnoteTextChar"/>
    <w:uiPriority w:val="99"/>
    <w:semiHidden/>
    <w:unhideWhenUsed/>
    <w:rsid w:val="005C09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90A"/>
    <w:rPr>
      <w:sz w:val="20"/>
      <w:szCs w:val="20"/>
    </w:rPr>
  </w:style>
  <w:style w:type="character" w:styleId="FootnoteReference">
    <w:name w:val="footnote reference"/>
    <w:basedOn w:val="DefaultParagraphFont"/>
    <w:uiPriority w:val="99"/>
    <w:semiHidden/>
    <w:unhideWhenUsed/>
    <w:rsid w:val="005C090A"/>
    <w:rPr>
      <w:vertAlign w:val="superscript"/>
    </w:rPr>
  </w:style>
  <w:style w:type="paragraph" w:styleId="ListParagraph">
    <w:name w:val="List Paragraph"/>
    <w:basedOn w:val="Normal"/>
    <w:uiPriority w:val="34"/>
    <w:qFormat/>
    <w:rsid w:val="008A3858"/>
    <w:pPr>
      <w:ind w:left="720"/>
      <w:contextualSpacing/>
    </w:pPr>
  </w:style>
  <w:style w:type="character" w:styleId="PlaceholderText">
    <w:name w:val="Placeholder Text"/>
    <w:basedOn w:val="DefaultParagraphFont"/>
    <w:uiPriority w:val="99"/>
    <w:semiHidden/>
    <w:rsid w:val="00917D0E"/>
    <w:rPr>
      <w:color w:val="808080"/>
    </w:rPr>
  </w:style>
  <w:style w:type="character" w:customStyle="1" w:styleId="Heading2Char">
    <w:name w:val="Heading 2 Char"/>
    <w:basedOn w:val="DefaultParagraphFont"/>
    <w:link w:val="Heading2"/>
    <w:uiPriority w:val="9"/>
    <w:rsid w:val="00641C3C"/>
    <w:rPr>
      <w:rFonts w:asciiTheme="majorHAnsi" w:eastAsiaTheme="majorEastAsia" w:hAnsiTheme="majorHAnsi" w:cstheme="majorBidi"/>
      <w:color w:val="2F5496" w:themeColor="accent1" w:themeShade="BF"/>
      <w:sz w:val="32"/>
      <w:szCs w:val="26"/>
    </w:rPr>
  </w:style>
  <w:style w:type="character" w:customStyle="1" w:styleId="Heading3Char">
    <w:name w:val="Heading 3 Char"/>
    <w:basedOn w:val="DefaultParagraphFont"/>
    <w:link w:val="Heading3"/>
    <w:uiPriority w:val="9"/>
    <w:rsid w:val="00641C3C"/>
    <w:rPr>
      <w:rFonts w:asciiTheme="majorHAnsi" w:eastAsiaTheme="majorEastAsia" w:hAnsiTheme="majorHAnsi" w:cstheme="majorBidi"/>
      <w:color w:val="1F3763" w:themeColor="accent1" w:themeShade="7F"/>
      <w:sz w:val="28"/>
      <w:szCs w:val="24"/>
    </w:rPr>
  </w:style>
  <w:style w:type="character" w:customStyle="1" w:styleId="Heading1Char">
    <w:name w:val="Heading 1 Char"/>
    <w:basedOn w:val="DefaultParagraphFont"/>
    <w:link w:val="Heading1"/>
    <w:uiPriority w:val="9"/>
    <w:rsid w:val="00D30F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30F7D"/>
    <w:pPr>
      <w:outlineLvl w:val="9"/>
    </w:pPr>
    <w:rPr>
      <w:lang w:val="en-US"/>
    </w:rPr>
  </w:style>
  <w:style w:type="paragraph" w:styleId="TOC2">
    <w:name w:val="toc 2"/>
    <w:basedOn w:val="Normal"/>
    <w:next w:val="Normal"/>
    <w:autoRedefine/>
    <w:uiPriority w:val="39"/>
    <w:unhideWhenUsed/>
    <w:rsid w:val="00E636EB"/>
    <w:pPr>
      <w:tabs>
        <w:tab w:val="left" w:pos="426"/>
        <w:tab w:val="right" w:leader="dot" w:pos="9350"/>
      </w:tabs>
      <w:spacing w:after="0" w:line="240" w:lineRule="auto"/>
      <w:ind w:left="426" w:hanging="426"/>
    </w:pPr>
  </w:style>
  <w:style w:type="paragraph" w:styleId="TOC3">
    <w:name w:val="toc 3"/>
    <w:basedOn w:val="Normal"/>
    <w:next w:val="Normal"/>
    <w:autoRedefine/>
    <w:uiPriority w:val="39"/>
    <w:unhideWhenUsed/>
    <w:rsid w:val="00197DE0"/>
    <w:pPr>
      <w:tabs>
        <w:tab w:val="right" w:leader="dot" w:pos="9350"/>
      </w:tabs>
      <w:spacing w:after="0" w:line="240" w:lineRule="auto"/>
      <w:ind w:left="709" w:hanging="425"/>
    </w:pPr>
  </w:style>
  <w:style w:type="table" w:styleId="TableGrid">
    <w:name w:val="Table Grid"/>
    <w:basedOn w:val="TableNormal"/>
    <w:uiPriority w:val="39"/>
    <w:rsid w:val="00C3732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3732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7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10F"/>
  </w:style>
  <w:style w:type="paragraph" w:styleId="Footer">
    <w:name w:val="footer"/>
    <w:basedOn w:val="Normal"/>
    <w:link w:val="FooterChar"/>
    <w:uiPriority w:val="99"/>
    <w:unhideWhenUsed/>
    <w:rsid w:val="0007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10F"/>
  </w:style>
  <w:style w:type="character" w:styleId="CommentReference">
    <w:name w:val="annotation reference"/>
    <w:basedOn w:val="DefaultParagraphFont"/>
    <w:uiPriority w:val="99"/>
    <w:semiHidden/>
    <w:unhideWhenUsed/>
    <w:rsid w:val="002F2B41"/>
    <w:rPr>
      <w:sz w:val="16"/>
      <w:szCs w:val="16"/>
    </w:rPr>
  </w:style>
  <w:style w:type="paragraph" w:styleId="CommentText">
    <w:name w:val="annotation text"/>
    <w:basedOn w:val="Normal"/>
    <w:link w:val="CommentTextChar"/>
    <w:uiPriority w:val="99"/>
    <w:unhideWhenUsed/>
    <w:rsid w:val="002F2B41"/>
    <w:pPr>
      <w:spacing w:line="240" w:lineRule="auto"/>
    </w:pPr>
    <w:rPr>
      <w:sz w:val="20"/>
      <w:szCs w:val="20"/>
    </w:rPr>
  </w:style>
  <w:style w:type="character" w:customStyle="1" w:styleId="CommentTextChar">
    <w:name w:val="Comment Text Char"/>
    <w:basedOn w:val="DefaultParagraphFont"/>
    <w:link w:val="CommentText"/>
    <w:uiPriority w:val="99"/>
    <w:rsid w:val="002F2B41"/>
    <w:rPr>
      <w:sz w:val="20"/>
      <w:szCs w:val="20"/>
    </w:rPr>
  </w:style>
  <w:style w:type="paragraph" w:styleId="CommentSubject">
    <w:name w:val="annotation subject"/>
    <w:basedOn w:val="CommentText"/>
    <w:next w:val="CommentText"/>
    <w:link w:val="CommentSubjectChar"/>
    <w:uiPriority w:val="99"/>
    <w:semiHidden/>
    <w:unhideWhenUsed/>
    <w:rsid w:val="002F2B41"/>
    <w:rPr>
      <w:b/>
      <w:bCs/>
    </w:rPr>
  </w:style>
  <w:style w:type="character" w:customStyle="1" w:styleId="CommentSubjectChar">
    <w:name w:val="Comment Subject Char"/>
    <w:basedOn w:val="CommentTextChar"/>
    <w:link w:val="CommentSubject"/>
    <w:uiPriority w:val="99"/>
    <w:semiHidden/>
    <w:rsid w:val="002F2B41"/>
    <w:rPr>
      <w:b/>
      <w:bCs/>
      <w:sz w:val="20"/>
      <w:szCs w:val="20"/>
    </w:rPr>
  </w:style>
  <w:style w:type="paragraph" w:styleId="Revision">
    <w:name w:val="Revision"/>
    <w:hidden/>
    <w:uiPriority w:val="99"/>
    <w:semiHidden/>
    <w:rsid w:val="002F2B41"/>
    <w:pPr>
      <w:spacing w:after="0" w:line="240" w:lineRule="auto"/>
    </w:pPr>
  </w:style>
  <w:style w:type="character" w:customStyle="1" w:styleId="UnresolvedMention1">
    <w:name w:val="Unresolved Mention1"/>
    <w:basedOn w:val="DefaultParagraphFont"/>
    <w:uiPriority w:val="99"/>
    <w:semiHidden/>
    <w:unhideWhenUsed/>
    <w:rsid w:val="002F4E49"/>
    <w:rPr>
      <w:color w:val="605E5C"/>
      <w:shd w:val="clear" w:color="auto" w:fill="E1DFDD"/>
    </w:rPr>
  </w:style>
  <w:style w:type="paragraph" w:styleId="BalloonText">
    <w:name w:val="Balloon Text"/>
    <w:basedOn w:val="Normal"/>
    <w:link w:val="BalloonTextChar"/>
    <w:uiPriority w:val="99"/>
    <w:semiHidden/>
    <w:unhideWhenUsed/>
    <w:rsid w:val="00C1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1F"/>
    <w:rPr>
      <w:rFonts w:ascii="Segoe UI" w:hAnsi="Segoe UI" w:cs="Segoe UI"/>
      <w:sz w:val="18"/>
      <w:szCs w:val="18"/>
    </w:rPr>
  </w:style>
  <w:style w:type="paragraph" w:styleId="NoSpacing">
    <w:name w:val="No Spacing"/>
    <w:uiPriority w:val="1"/>
    <w:qFormat/>
    <w:rsid w:val="00C1111F"/>
    <w:pPr>
      <w:spacing w:after="0" w:line="240" w:lineRule="auto"/>
    </w:pPr>
  </w:style>
  <w:style w:type="paragraph" w:styleId="TOC1">
    <w:name w:val="toc 1"/>
    <w:basedOn w:val="Normal"/>
    <w:next w:val="Normal"/>
    <w:autoRedefine/>
    <w:uiPriority w:val="39"/>
    <w:unhideWhenUsed/>
    <w:rsid w:val="00C40723"/>
    <w:pPr>
      <w:spacing w:after="100"/>
    </w:pPr>
    <w:rPr>
      <w:rFonts w:eastAsiaTheme="minorEastAsia" w:cs="Times New Roman"/>
      <w:lang w:val="en-US"/>
    </w:rPr>
  </w:style>
  <w:style w:type="paragraph" w:customStyle="1" w:styleId="pf0">
    <w:name w:val="pf0"/>
    <w:basedOn w:val="Normal"/>
    <w:rsid w:val="00DF46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DF4698"/>
    <w:rPr>
      <w:rFonts w:ascii="Segoe UI" w:hAnsi="Segoe UI" w:cs="Segoe UI" w:hint="default"/>
      <w:sz w:val="18"/>
      <w:szCs w:val="18"/>
    </w:rPr>
  </w:style>
  <w:style w:type="character" w:styleId="UnresolvedMention">
    <w:name w:val="Unresolved Mention"/>
    <w:basedOn w:val="DefaultParagraphFont"/>
    <w:uiPriority w:val="99"/>
    <w:semiHidden/>
    <w:unhideWhenUsed/>
    <w:rsid w:val="002F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62494">
      <w:bodyDiv w:val="1"/>
      <w:marLeft w:val="0"/>
      <w:marRight w:val="0"/>
      <w:marTop w:val="0"/>
      <w:marBottom w:val="0"/>
      <w:divBdr>
        <w:top w:val="none" w:sz="0" w:space="0" w:color="auto"/>
        <w:left w:val="none" w:sz="0" w:space="0" w:color="auto"/>
        <w:bottom w:val="none" w:sz="0" w:space="0" w:color="auto"/>
        <w:right w:val="none" w:sz="0" w:space="0" w:color="auto"/>
      </w:divBdr>
    </w:div>
    <w:div w:id="1051148113">
      <w:bodyDiv w:val="1"/>
      <w:marLeft w:val="0"/>
      <w:marRight w:val="0"/>
      <w:marTop w:val="0"/>
      <w:marBottom w:val="0"/>
      <w:divBdr>
        <w:top w:val="none" w:sz="0" w:space="0" w:color="auto"/>
        <w:left w:val="none" w:sz="0" w:space="0" w:color="auto"/>
        <w:bottom w:val="none" w:sz="0" w:space="0" w:color="auto"/>
        <w:right w:val="none" w:sz="0" w:space="0" w:color="auto"/>
      </w:divBdr>
    </w:div>
    <w:div w:id="19083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hdrn.ca/sites/default/files/2022-11/Appendix%20B%20-%20Social%20licence%20for%20uses%20of%20health%20data%20-%20HDRN%20Canada%20%26%20GRIIS.docx"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hdrn.ca/sites/default/files/2022-11/Appendix%20E%20-%20Social%20licence%20for%20uses%20of%20health%20data%20-%20HDRN%20Canada%20%26%20GRIIS.docx" TargetMode="External"/><Relationship Id="rId7" Type="http://schemas.openxmlformats.org/officeDocument/2006/relationships/endnotes" Target="endnotes.xml"/><Relationship Id="rId12" Type="http://schemas.openxmlformats.org/officeDocument/2006/relationships/hyperlink" Target="mailto:alison.paprica@utoronto.ca" TargetMode="External"/><Relationship Id="rId17" Type="http://schemas.openxmlformats.org/officeDocument/2006/relationships/hyperlink" Target="https://www.hdrn.ca/sites/default/files/2022-11/Appendix%20A%20-%20Social%20licence%20for%20uses%20of%20health%20data%20-%20HDRN%20Canada%20%26%20GRIIS.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hdrn.ca/sites/default/files/2022-11/Appendix%20D%20-%20Social%20licence%20for%20uses%20of%20health%20data%20-%20HDRN%20Canada%20%26%20GRII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belle.cumyn@USherbrooke.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hdrn.ca/sites/default/files/2022-11/Appendix%20C%20-%20Social%20licence%20for%20uses%20of%20health%20data%20-%20HDRN%20Canada%20%26%20GRIIS.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hdrn.ca/sites/default/files/2022-11/Appendix%20F%20-%20Social%20licence%20for%20uses%20of%20health%20data%20-%20HDRN%20Canada%20%26%20GRII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64C4A-3096-4873-A9C8-480B0FA5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4276</Words>
  <Characters>24204</Characters>
  <Application>Microsoft Office Word</Application>
  <DocSecurity>0</DocSecurity>
  <Lines>384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Paprica</dc:creator>
  <cp:keywords/>
  <dc:description/>
  <cp:lastModifiedBy>Yang, David</cp:lastModifiedBy>
  <cp:revision>6</cp:revision>
  <cp:lastPrinted>2022-11-15T13:16:00Z</cp:lastPrinted>
  <dcterms:created xsi:type="dcterms:W3CDTF">2022-11-17T14:15:00Z</dcterms:created>
  <dcterms:modified xsi:type="dcterms:W3CDTF">2022-11-25T19:01:00Z</dcterms:modified>
  <cp:contentStatus/>
</cp:coreProperties>
</file>