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114A2" w14:textId="77777777" w:rsidR="00376912" w:rsidRPr="00653F41" w:rsidRDefault="00376912" w:rsidP="00653F41">
      <w:pPr>
        <w:pStyle w:val="Heading2"/>
      </w:pPr>
      <w:bookmarkStart w:id="0" w:name="_Toc102741654"/>
      <w:bookmarkStart w:id="1" w:name="_Toc1013575672"/>
      <w:bookmarkStart w:id="2" w:name="_Toc113710877"/>
      <w:bookmarkStart w:id="3" w:name="_Toc113805554"/>
      <w:bookmarkStart w:id="4" w:name="_Toc113811644"/>
      <w:r w:rsidRPr="00653F41">
        <w:t xml:space="preserve">Appendix C: </w:t>
      </w:r>
      <w:bookmarkEnd w:id="0"/>
      <w:bookmarkEnd w:id="1"/>
      <w:r w:rsidRPr="00653F41">
        <w:t>Table of requirements for health data social licence</w:t>
      </w:r>
      <w:bookmarkEnd w:id="2"/>
      <w:bookmarkEnd w:id="3"/>
      <w:bookmarkEnd w:id="4"/>
      <w:r w:rsidRPr="00653F41">
        <w:t xml:space="preserve"> </w:t>
      </w:r>
    </w:p>
    <w:p w14:paraId="14C151E3" w14:textId="77777777" w:rsidR="00376912" w:rsidRPr="004D120A" w:rsidRDefault="00376912" w:rsidP="00376912">
      <w:pPr>
        <w:rPr>
          <w:i/>
          <w:sz w:val="24"/>
          <w:szCs w:val="24"/>
        </w:rPr>
      </w:pPr>
      <w:r>
        <w:rPr>
          <w:i/>
          <w:sz w:val="24"/>
          <w:szCs w:val="24"/>
        </w:rPr>
        <w:t xml:space="preserve">Requirements </w:t>
      </w:r>
      <w:r w:rsidRPr="00D177D9">
        <w:rPr>
          <w:i/>
          <w:sz w:val="24"/>
          <w:szCs w:val="24"/>
        </w:rPr>
        <w:t>that were identified by previous groups and studies</w:t>
      </w:r>
      <w:r>
        <w:rPr>
          <w:i/>
          <w:sz w:val="24"/>
          <w:szCs w:val="24"/>
        </w:rPr>
        <w:t xml:space="preserve"> are identified with </w:t>
      </w:r>
      <w:r w:rsidRPr="00D177D9">
        <w:rPr>
          <w:i/>
          <w:sz w:val="24"/>
          <w:szCs w:val="24"/>
        </w:rPr>
        <w:t>black font</w:t>
      </w:r>
      <w:r>
        <w:rPr>
          <w:i/>
          <w:sz w:val="24"/>
          <w:szCs w:val="24"/>
        </w:rPr>
        <w:t xml:space="preserve">; edits and additions made by participants are identified with </w:t>
      </w:r>
      <w:r w:rsidRPr="00D177D9">
        <w:rPr>
          <w:i/>
          <w:sz w:val="24"/>
          <w:szCs w:val="24"/>
        </w:rPr>
        <w:t>blue italic font</w:t>
      </w:r>
      <w:r>
        <w:rPr>
          <w:rStyle w:val="FootnoteReference"/>
          <w:i/>
          <w:sz w:val="24"/>
          <w:szCs w:val="24"/>
        </w:rPr>
        <w:footnoteReference w:id="1"/>
      </w:r>
    </w:p>
    <w:tbl>
      <w:tblPr>
        <w:tblW w:w="1222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Table of requirements for health data social licence"/>
        <w:tblDescription w:val="This table shows the list of requirements for health data social licence identified by previous groups and studies focused on public and patient views about health data, as well as the participants in this project. The table groups requirements into seven main categories and notes the number of participants that identified each requirement as essential."/>
      </w:tblPr>
      <w:tblGrid>
        <w:gridCol w:w="10350"/>
        <w:gridCol w:w="1878"/>
      </w:tblGrid>
      <w:tr w:rsidR="00653F41" w:rsidRPr="004D120A" w14:paraId="68A79095" w14:textId="77777777" w:rsidTr="00081251">
        <w:trPr>
          <w:tblHeader/>
        </w:trPr>
        <w:tc>
          <w:tcPr>
            <w:tcW w:w="10350" w:type="dxa"/>
            <w:tcBorders>
              <w:bottom w:val="single" w:sz="12" w:space="0" w:color="auto"/>
            </w:tcBorders>
            <w:vAlign w:val="center"/>
            <w:hideMark/>
          </w:tcPr>
          <w:p w14:paraId="5F08764A" w14:textId="64557EEF" w:rsidR="00376912" w:rsidRPr="004D120A" w:rsidRDefault="34CED3C5" w:rsidP="00D90C60">
            <w:pPr>
              <w:widowControl w:val="0"/>
              <w:spacing w:after="0" w:line="240" w:lineRule="auto"/>
              <w:rPr>
                <w:rFonts w:ascii="Cambria" w:eastAsia="Times New Roman" w:hAnsi="Cambria" w:cs="Calibri"/>
                <w:color w:val="000000"/>
              </w:rPr>
            </w:pPr>
            <w:r w:rsidRPr="61029005">
              <w:rPr>
                <w:rFonts w:ascii="Cambria" w:eastAsia="Times New Roman" w:hAnsi="Cambria" w:cs="Calibri"/>
                <w:color w:val="000000" w:themeColor="text1"/>
              </w:rPr>
              <w:t xml:space="preserve">Requirement Category and </w:t>
            </w:r>
            <w:r w:rsidR="00376912" w:rsidRPr="61029005">
              <w:rPr>
                <w:rFonts w:ascii="Cambria" w:eastAsia="Times New Roman" w:hAnsi="Cambria" w:cs="Calibri"/>
                <w:color w:val="000000" w:themeColor="text1"/>
              </w:rPr>
              <w:t xml:space="preserve">“IT IS IMPORTANT THAT” requirement for health data social licence (in alphabetical order) </w:t>
            </w:r>
          </w:p>
        </w:tc>
        <w:tc>
          <w:tcPr>
            <w:tcW w:w="1878" w:type="dxa"/>
            <w:tcBorders>
              <w:bottom w:val="single" w:sz="12" w:space="0" w:color="auto"/>
            </w:tcBorders>
            <w:vAlign w:val="center"/>
          </w:tcPr>
          <w:p w14:paraId="62AED829" w14:textId="77777777" w:rsidR="00376912" w:rsidRPr="004D120A" w:rsidRDefault="00376912" w:rsidP="00D90C60">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rPr>
              <w:t>Number of participants that identified the requirement as essential</w:t>
            </w:r>
          </w:p>
        </w:tc>
      </w:tr>
      <w:tr w:rsidR="5EB9167C" w14:paraId="19BDFA91" w14:textId="77777777" w:rsidTr="00081251">
        <w:tc>
          <w:tcPr>
            <w:tcW w:w="103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0995C2" w14:textId="170C6C12" w:rsidR="1994E1F6" w:rsidRDefault="1994E1F6" w:rsidP="61029005">
            <w:pPr>
              <w:widowControl w:val="0"/>
              <w:spacing w:after="0" w:line="240" w:lineRule="auto"/>
              <w:rPr>
                <w:rFonts w:ascii="Cambria" w:eastAsia="Times New Roman" w:hAnsi="Cambria" w:cs="Calibri"/>
                <w:b/>
                <w:bCs/>
              </w:rPr>
            </w:pPr>
            <w:r w:rsidRPr="61029005">
              <w:rPr>
                <w:rFonts w:ascii="Cambria" w:eastAsia="Times New Roman" w:hAnsi="Cambria" w:cs="Calibri"/>
                <w:b/>
                <w:bCs/>
              </w:rPr>
              <w:t>A: Benefits</w:t>
            </w:r>
          </w:p>
        </w:tc>
        <w:tc>
          <w:tcPr>
            <w:tcW w:w="187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20502C" w14:textId="4111C32B" w:rsidR="5EB9167C" w:rsidRDefault="5EB9167C" w:rsidP="61029005">
            <w:pPr>
              <w:spacing w:line="240" w:lineRule="auto"/>
              <w:jc w:val="center"/>
              <w:rPr>
                <w:rFonts w:ascii="Cambria" w:eastAsia="Times New Roman" w:hAnsi="Cambria" w:cs="Calibri"/>
                <w:b/>
                <w:bCs/>
                <w:color w:val="FFFFFF" w:themeColor="background1"/>
              </w:rPr>
            </w:pPr>
          </w:p>
        </w:tc>
      </w:tr>
      <w:tr w:rsidR="00653F41" w:rsidRPr="004D120A" w14:paraId="3619E03B" w14:textId="77777777" w:rsidTr="00081251">
        <w:tc>
          <w:tcPr>
            <w:tcW w:w="10350" w:type="dxa"/>
            <w:tcBorders>
              <w:top w:val="single" w:sz="12" w:space="0" w:color="auto"/>
            </w:tcBorders>
            <w:shd w:val="clear" w:color="auto" w:fill="auto"/>
            <w:vAlign w:val="center"/>
            <w:hideMark/>
          </w:tcPr>
          <w:p w14:paraId="032246C4"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A1: Aggregate health data statistics (not individual data) are used, shared, and re-used widely.</w:t>
            </w:r>
          </w:p>
        </w:tc>
        <w:tc>
          <w:tcPr>
            <w:tcW w:w="1878" w:type="dxa"/>
            <w:tcBorders>
              <w:top w:val="single" w:sz="12" w:space="0" w:color="auto"/>
            </w:tcBorders>
          </w:tcPr>
          <w:p w14:paraId="55018360"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716974F8" w14:textId="77777777" w:rsidTr="61029005">
        <w:tc>
          <w:tcPr>
            <w:tcW w:w="10350" w:type="dxa"/>
            <w:shd w:val="clear" w:color="auto" w:fill="auto"/>
            <w:vAlign w:val="center"/>
          </w:tcPr>
          <w:p w14:paraId="5D546E98" w14:textId="5561CDDB"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A2: Canada's health data ecosystem is comprehensive (e.g., integrating and building upon existing data holdings from healthcare and other settings such as employment, geographic and environmental) and modern (e.g., automated extraction, interoperable, integrating wearables and other new data sources) </w:t>
            </w:r>
          </w:p>
        </w:tc>
        <w:tc>
          <w:tcPr>
            <w:tcW w:w="1878" w:type="dxa"/>
          </w:tcPr>
          <w:p w14:paraId="0B23A479"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6AF37A03" w14:textId="77777777" w:rsidTr="61029005">
        <w:tc>
          <w:tcPr>
            <w:tcW w:w="10350" w:type="dxa"/>
            <w:shd w:val="clear" w:color="auto" w:fill="auto"/>
            <w:vAlign w:val="center"/>
            <w:hideMark/>
          </w:tcPr>
          <w:p w14:paraId="5F9BFB30" w14:textId="71B18EDF" w:rsidR="00376912" w:rsidRPr="004D120A" w:rsidRDefault="00376912" w:rsidP="002E029C">
            <w:pPr>
              <w:widowControl w:val="0"/>
              <w:spacing w:after="0" w:line="240" w:lineRule="auto"/>
              <w:rPr>
                <w:rFonts w:ascii="Cambria" w:eastAsia="Times New Roman" w:hAnsi="Cambria" w:cs="Calibri"/>
                <w:color w:val="000000"/>
              </w:rPr>
            </w:pPr>
            <w:r w:rsidRPr="61029005">
              <w:rPr>
                <w:rFonts w:ascii="Cambria" w:eastAsia="Times New Roman" w:hAnsi="Cambria" w:cs="Calibri"/>
                <w:color w:val="000000" w:themeColor="text1"/>
              </w:rPr>
              <w:t xml:space="preserve">A3: Health data are used, shared, and </w:t>
            </w:r>
            <w:r w:rsidR="004C04BA" w:rsidRPr="61029005">
              <w:rPr>
                <w:rFonts w:ascii="Cambria" w:eastAsia="Times New Roman" w:hAnsi="Cambria" w:cs="Calibri"/>
                <w:color w:val="000000" w:themeColor="text1"/>
              </w:rPr>
              <w:t>r</w:t>
            </w:r>
            <w:r w:rsidRPr="61029005">
              <w:rPr>
                <w:rFonts w:ascii="Cambria" w:eastAsia="Times New Roman" w:hAnsi="Cambria" w:cs="Calibri"/>
                <w:color w:val="000000" w:themeColor="text1"/>
              </w:rPr>
              <w:t>e-used to enable breakthrough discoveries that wouldn't be possible if health data were not shared. </w:t>
            </w:r>
          </w:p>
        </w:tc>
        <w:tc>
          <w:tcPr>
            <w:tcW w:w="1878" w:type="dxa"/>
          </w:tcPr>
          <w:p w14:paraId="7E00421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300A454D" w14:textId="77777777" w:rsidTr="61029005">
        <w:tc>
          <w:tcPr>
            <w:tcW w:w="10350" w:type="dxa"/>
            <w:shd w:val="clear" w:color="auto" w:fill="auto"/>
            <w:vAlign w:val="center"/>
          </w:tcPr>
          <w:p w14:paraId="2D412BE4" w14:textId="69CD1116"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A4: Health data controls, safeguards, and regulations are proportionate and not so burdensome that they prevent benefits from being obtained from health data. </w:t>
            </w:r>
          </w:p>
        </w:tc>
        <w:tc>
          <w:tcPr>
            <w:tcW w:w="1878" w:type="dxa"/>
          </w:tcPr>
          <w:p w14:paraId="383DA5B1"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3</w:t>
            </w:r>
          </w:p>
        </w:tc>
      </w:tr>
      <w:tr w:rsidR="00653F41" w:rsidRPr="004D120A" w14:paraId="7EA11CC9" w14:textId="77777777" w:rsidTr="61029005">
        <w:tc>
          <w:tcPr>
            <w:tcW w:w="10350" w:type="dxa"/>
            <w:shd w:val="clear" w:color="auto" w:fill="auto"/>
            <w:vAlign w:val="center"/>
          </w:tcPr>
          <w:p w14:paraId="5A3C7B6A"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A5: Health data should be linked to other data sets to maximize value. </w:t>
            </w:r>
          </w:p>
        </w:tc>
        <w:tc>
          <w:tcPr>
            <w:tcW w:w="1878" w:type="dxa"/>
          </w:tcPr>
          <w:p w14:paraId="5D577144"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612C5802" w14:textId="77777777" w:rsidTr="61029005">
        <w:tc>
          <w:tcPr>
            <w:tcW w:w="10350" w:type="dxa"/>
            <w:shd w:val="clear" w:color="auto" w:fill="auto"/>
            <w:vAlign w:val="center"/>
            <w:hideMark/>
          </w:tcPr>
          <w:p w14:paraId="1FA79C5C"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A6: Health data use, sharing, and re-use for public benefit is encouraged ("data aren't wasted"). </w:t>
            </w:r>
          </w:p>
        </w:tc>
        <w:tc>
          <w:tcPr>
            <w:tcW w:w="1878" w:type="dxa"/>
          </w:tcPr>
          <w:p w14:paraId="7C26378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6</w:t>
            </w:r>
          </w:p>
        </w:tc>
      </w:tr>
      <w:tr w:rsidR="00653F41" w:rsidRPr="004D120A" w14:paraId="2E3E00E5" w14:textId="77777777" w:rsidTr="61029005">
        <w:tc>
          <w:tcPr>
            <w:tcW w:w="10350" w:type="dxa"/>
            <w:shd w:val="clear" w:color="auto" w:fill="auto"/>
            <w:vAlign w:val="center"/>
            <w:hideMark/>
          </w:tcPr>
          <w:p w14:paraId="1395AF81"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A7: Health data use, sharing, and re-use leads to benefits for communities, groups, subpopulations and/or society as whole. </w:t>
            </w:r>
          </w:p>
        </w:tc>
        <w:tc>
          <w:tcPr>
            <w:tcW w:w="1878" w:type="dxa"/>
          </w:tcPr>
          <w:p w14:paraId="707AB350"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6</w:t>
            </w:r>
          </w:p>
        </w:tc>
      </w:tr>
      <w:tr w:rsidR="00653F41" w:rsidRPr="004D120A" w14:paraId="3B7FEB04" w14:textId="77777777" w:rsidTr="61029005">
        <w:tc>
          <w:tcPr>
            <w:tcW w:w="10350" w:type="dxa"/>
            <w:shd w:val="clear" w:color="auto" w:fill="auto"/>
            <w:vAlign w:val="center"/>
            <w:hideMark/>
          </w:tcPr>
          <w:p w14:paraId="0E0D3CEE"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A8: Health data use, sharing, and re-use leads to benefits for the same people who contribute health data for a particular purpose. </w:t>
            </w:r>
          </w:p>
        </w:tc>
        <w:tc>
          <w:tcPr>
            <w:tcW w:w="1878" w:type="dxa"/>
          </w:tcPr>
          <w:p w14:paraId="2CE72B96"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5</w:t>
            </w:r>
          </w:p>
        </w:tc>
      </w:tr>
      <w:tr w:rsidR="00653F41" w:rsidRPr="004D120A" w14:paraId="5C13C822" w14:textId="77777777" w:rsidTr="61029005">
        <w:tc>
          <w:tcPr>
            <w:tcW w:w="10350" w:type="dxa"/>
            <w:tcBorders>
              <w:bottom w:val="single" w:sz="12" w:space="0" w:color="auto"/>
            </w:tcBorders>
            <w:shd w:val="clear" w:color="auto" w:fill="auto"/>
            <w:noWrap/>
            <w:vAlign w:val="bottom"/>
            <w:hideMark/>
          </w:tcPr>
          <w:p w14:paraId="68D371BF"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A9: The benefits of health data sharing are communicated widely. </w:t>
            </w:r>
          </w:p>
        </w:tc>
        <w:tc>
          <w:tcPr>
            <w:tcW w:w="1878" w:type="dxa"/>
            <w:tcBorders>
              <w:bottom w:val="single" w:sz="12" w:space="0" w:color="auto"/>
            </w:tcBorders>
          </w:tcPr>
          <w:p w14:paraId="12BF9DC2"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5EB9167C" w14:paraId="70364BA2" w14:textId="77777777" w:rsidTr="61029005">
        <w:tc>
          <w:tcPr>
            <w:tcW w:w="10350" w:type="dxa"/>
            <w:tcBorders>
              <w:top w:val="single" w:sz="12" w:space="0" w:color="auto"/>
            </w:tcBorders>
            <w:shd w:val="clear" w:color="auto" w:fill="D9D9D9" w:themeFill="background1" w:themeFillShade="D9"/>
            <w:vAlign w:val="center"/>
          </w:tcPr>
          <w:p w14:paraId="1E32DE54" w14:textId="740D91C8" w:rsidR="1889B2AA" w:rsidRDefault="1889B2AA" w:rsidP="61029005">
            <w:pPr>
              <w:widowControl w:val="0"/>
              <w:spacing w:after="0" w:line="240" w:lineRule="auto"/>
              <w:rPr>
                <w:rFonts w:ascii="Cambria" w:eastAsia="Times New Roman" w:hAnsi="Cambria" w:cs="Calibri"/>
                <w:b/>
                <w:bCs/>
                <w:color w:val="FFFFFF" w:themeColor="background1"/>
              </w:rPr>
            </w:pPr>
            <w:r w:rsidRPr="61029005">
              <w:rPr>
                <w:rFonts w:ascii="Cambria" w:eastAsia="Times New Roman" w:hAnsi="Cambria" w:cs="Calibri"/>
                <w:b/>
                <w:bCs/>
              </w:rPr>
              <w:t>B: Commercial Organizations</w:t>
            </w:r>
          </w:p>
        </w:tc>
        <w:tc>
          <w:tcPr>
            <w:tcW w:w="1878" w:type="dxa"/>
            <w:tcBorders>
              <w:top w:val="single" w:sz="12" w:space="0" w:color="auto"/>
            </w:tcBorders>
            <w:shd w:val="clear" w:color="auto" w:fill="D9D9D9" w:themeFill="background1" w:themeFillShade="D9"/>
          </w:tcPr>
          <w:p w14:paraId="3C7D0800" w14:textId="42E51A16" w:rsidR="5EB9167C" w:rsidRDefault="5EB9167C" w:rsidP="61029005">
            <w:pPr>
              <w:spacing w:line="240" w:lineRule="auto"/>
              <w:jc w:val="center"/>
              <w:rPr>
                <w:rFonts w:asciiTheme="majorHAnsi" w:eastAsia="Times New Roman" w:hAnsiTheme="majorHAnsi" w:cstheme="majorBidi"/>
                <w:b/>
                <w:bCs/>
                <w:i/>
                <w:iCs/>
                <w:color w:val="FFFFFF" w:themeColor="background1"/>
              </w:rPr>
            </w:pPr>
          </w:p>
        </w:tc>
      </w:tr>
      <w:tr w:rsidR="00653F41" w:rsidRPr="004D120A" w14:paraId="0AFD677B" w14:textId="77777777" w:rsidTr="61029005">
        <w:tc>
          <w:tcPr>
            <w:tcW w:w="10350" w:type="dxa"/>
            <w:tcBorders>
              <w:top w:val="single" w:sz="12" w:space="0" w:color="auto"/>
            </w:tcBorders>
            <w:vAlign w:val="center"/>
          </w:tcPr>
          <w:p w14:paraId="61066EE7"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B1: Commercial organizations </w:t>
            </w:r>
            <w:r w:rsidRPr="004D120A">
              <w:rPr>
                <w:rFonts w:asciiTheme="majorHAnsi" w:eastAsia="Times New Roman" w:hAnsiTheme="majorHAnsi" w:cstheme="majorBidi"/>
                <w:i/>
                <w:iCs/>
                <w:color w:val="4F81BD"/>
                <w:u w:val="single"/>
              </w:rPr>
              <w:t>must exceed</w:t>
            </w:r>
            <w:r w:rsidRPr="004D120A">
              <w:rPr>
                <w:rFonts w:asciiTheme="majorHAnsi" w:eastAsia="Times New Roman" w:hAnsiTheme="majorHAnsi" w:cstheme="majorBidi"/>
                <w:i/>
                <w:iCs/>
                <w:color w:val="4F81BD"/>
              </w:rPr>
              <w:t xml:space="preserve"> a higher standard or threshold for public benefit from health data use, </w:t>
            </w:r>
            <w:r w:rsidRPr="004D120A">
              <w:rPr>
                <w:rFonts w:asciiTheme="majorHAnsi" w:eastAsia="Times New Roman" w:hAnsiTheme="majorHAnsi" w:cstheme="majorBidi"/>
                <w:i/>
                <w:iCs/>
                <w:color w:val="4F81BD"/>
              </w:rPr>
              <w:lastRenderedPageBreak/>
              <w:t xml:space="preserve">sharing or re-use compared to non-commercial organizations. </w:t>
            </w:r>
          </w:p>
        </w:tc>
        <w:tc>
          <w:tcPr>
            <w:tcW w:w="1878" w:type="dxa"/>
            <w:tcBorders>
              <w:top w:val="single" w:sz="12" w:space="0" w:color="auto"/>
            </w:tcBorders>
          </w:tcPr>
          <w:p w14:paraId="4ED98CDA"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lastRenderedPageBreak/>
              <w:t>1</w:t>
            </w:r>
          </w:p>
        </w:tc>
      </w:tr>
      <w:tr w:rsidR="00653F41" w:rsidRPr="004D120A" w14:paraId="42E37FC7" w14:textId="77777777" w:rsidTr="61029005">
        <w:tc>
          <w:tcPr>
            <w:tcW w:w="10350" w:type="dxa"/>
            <w:vAlign w:val="center"/>
            <w:hideMark/>
          </w:tcPr>
          <w:p w14:paraId="25C7F48A" w14:textId="11CECD18"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B2: Commercial organizations </w:t>
            </w:r>
            <w:r w:rsidRPr="004D120A">
              <w:rPr>
                <w:rFonts w:ascii="Cambria" w:eastAsia="Times New Roman" w:hAnsi="Cambria" w:cs="Calibri"/>
                <w:color w:val="000000" w:themeColor="text1"/>
                <w:u w:val="single"/>
              </w:rPr>
              <w:t>must meet or exceed</w:t>
            </w:r>
            <w:r w:rsidRPr="004D120A">
              <w:rPr>
                <w:rFonts w:ascii="Cambria" w:eastAsia="Times New Roman" w:hAnsi="Cambria" w:cs="Calibri"/>
                <w:color w:val="000000" w:themeColor="text1"/>
              </w:rPr>
              <w:t xml:space="preserve"> a higher standard or threshold for public benefit from health data use, sharing</w:t>
            </w:r>
            <w:r w:rsidR="002C7205">
              <w:rPr>
                <w:rFonts w:ascii="Cambria" w:eastAsia="Times New Roman" w:hAnsi="Cambria" w:cs="Calibri"/>
                <w:color w:val="000000" w:themeColor="text1"/>
              </w:rPr>
              <w:t>,</w:t>
            </w:r>
            <w:r w:rsidRPr="004D120A">
              <w:rPr>
                <w:rFonts w:ascii="Cambria" w:eastAsia="Times New Roman" w:hAnsi="Cambria" w:cs="Calibri"/>
                <w:color w:val="000000" w:themeColor="text1"/>
              </w:rPr>
              <w:t xml:space="preserve"> or re-use compared to non-commercial organizations. </w:t>
            </w:r>
          </w:p>
        </w:tc>
        <w:tc>
          <w:tcPr>
            <w:tcW w:w="1878" w:type="dxa"/>
          </w:tcPr>
          <w:p w14:paraId="02FD1A38"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3</w:t>
            </w:r>
          </w:p>
        </w:tc>
      </w:tr>
      <w:tr w:rsidR="00653F41" w:rsidRPr="004D120A" w14:paraId="620B9221" w14:textId="77777777" w:rsidTr="61029005">
        <w:tc>
          <w:tcPr>
            <w:tcW w:w="10350" w:type="dxa"/>
            <w:vAlign w:val="center"/>
          </w:tcPr>
          <w:p w14:paraId="0C0E766A" w14:textId="17EC947E"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B3: Commercial organizations have the responsibility to protect, collaborate</w:t>
            </w:r>
            <w:r w:rsidR="002C7205">
              <w:rPr>
                <w:rFonts w:asciiTheme="majorHAnsi" w:eastAsia="Times New Roman" w:hAnsiTheme="majorHAnsi" w:cstheme="majorBidi"/>
                <w:i/>
                <w:iCs/>
                <w:color w:val="4F81BD"/>
              </w:rPr>
              <w:t xml:space="preserve">, and act on data that are </w:t>
            </w:r>
            <w:r w:rsidRPr="004D120A">
              <w:rPr>
                <w:rFonts w:asciiTheme="majorHAnsi" w:eastAsia="Times New Roman" w:hAnsiTheme="majorHAnsi" w:cstheme="majorBidi"/>
                <w:i/>
                <w:iCs/>
                <w:color w:val="4F81BD"/>
              </w:rPr>
              <w:t xml:space="preserve">collected to ensure public benefit is produced. </w:t>
            </w:r>
          </w:p>
        </w:tc>
        <w:tc>
          <w:tcPr>
            <w:tcW w:w="1878" w:type="dxa"/>
          </w:tcPr>
          <w:p w14:paraId="21E179D5"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2CB787BF" w14:textId="77777777" w:rsidTr="61029005">
        <w:tc>
          <w:tcPr>
            <w:tcW w:w="10350" w:type="dxa"/>
            <w:vAlign w:val="center"/>
          </w:tcPr>
          <w:p w14:paraId="0C25CF57"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B4: Health data are made available to commercial organizations when doing would produce a public benefit (for example, therapeutic interventions such as pharmaceutical companies developing new medications).</w:t>
            </w:r>
          </w:p>
        </w:tc>
        <w:tc>
          <w:tcPr>
            <w:tcW w:w="1878" w:type="dxa"/>
          </w:tcPr>
          <w:p w14:paraId="2190025E"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28AA69B2" w14:textId="77777777" w:rsidTr="61029005">
        <w:tc>
          <w:tcPr>
            <w:tcW w:w="10350" w:type="dxa"/>
            <w:vAlign w:val="center"/>
            <w:hideMark/>
          </w:tcPr>
          <w:p w14:paraId="7398C57C"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B5: Health data are not sold. </w:t>
            </w:r>
          </w:p>
        </w:tc>
        <w:tc>
          <w:tcPr>
            <w:tcW w:w="1878" w:type="dxa"/>
          </w:tcPr>
          <w:p w14:paraId="46DD08E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4</w:t>
            </w:r>
          </w:p>
        </w:tc>
      </w:tr>
      <w:tr w:rsidR="00653F41" w:rsidRPr="004D120A" w14:paraId="49B9C24C" w14:textId="77777777" w:rsidTr="61029005">
        <w:tc>
          <w:tcPr>
            <w:tcW w:w="10350" w:type="dxa"/>
            <w:vAlign w:val="center"/>
          </w:tcPr>
          <w:p w14:paraId="668C9541"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B6: Health data are not used for marketing purposes. </w:t>
            </w:r>
          </w:p>
        </w:tc>
        <w:tc>
          <w:tcPr>
            <w:tcW w:w="1878" w:type="dxa"/>
          </w:tcPr>
          <w:p w14:paraId="3A46D081"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5B5EAD3B" w14:textId="77777777" w:rsidTr="61029005">
        <w:tc>
          <w:tcPr>
            <w:tcW w:w="10350" w:type="dxa"/>
            <w:vAlign w:val="center"/>
            <w:hideMark/>
          </w:tcPr>
          <w:p w14:paraId="53F606F4"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B7: People who contribute their health data are not exploited by commercial organizations. </w:t>
            </w:r>
          </w:p>
        </w:tc>
        <w:tc>
          <w:tcPr>
            <w:tcW w:w="1878" w:type="dxa"/>
          </w:tcPr>
          <w:p w14:paraId="20759EED"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5</w:t>
            </w:r>
          </w:p>
        </w:tc>
      </w:tr>
      <w:tr w:rsidR="00653F41" w:rsidRPr="004D120A" w14:paraId="7728ECD4" w14:textId="77777777" w:rsidTr="61029005">
        <w:tc>
          <w:tcPr>
            <w:tcW w:w="10350" w:type="dxa"/>
            <w:vAlign w:val="center"/>
          </w:tcPr>
          <w:p w14:paraId="649D3F70"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B8: The people, communities, and societies that contribute health data share in any commercial profit based on the data. </w:t>
            </w:r>
          </w:p>
        </w:tc>
        <w:tc>
          <w:tcPr>
            <w:tcW w:w="1878" w:type="dxa"/>
          </w:tcPr>
          <w:p w14:paraId="7F97A1D9"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653F41" w:rsidRPr="004D120A" w14:paraId="20BBCB75" w14:textId="77777777" w:rsidTr="61029005">
        <w:tc>
          <w:tcPr>
            <w:tcW w:w="10350" w:type="dxa"/>
            <w:vAlign w:val="center"/>
            <w:hideMark/>
          </w:tcPr>
          <w:p w14:paraId="7567BBF4"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B9: There are additional safeguards, conditions, and protections when any commercial organization uses, shares, or re-uses health data. </w:t>
            </w:r>
          </w:p>
        </w:tc>
        <w:tc>
          <w:tcPr>
            <w:tcW w:w="1878" w:type="dxa"/>
          </w:tcPr>
          <w:p w14:paraId="27A28457"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4</w:t>
            </w:r>
          </w:p>
        </w:tc>
      </w:tr>
      <w:tr w:rsidR="00653F41" w:rsidRPr="004D120A" w14:paraId="201775BB" w14:textId="77777777" w:rsidTr="61029005">
        <w:tc>
          <w:tcPr>
            <w:tcW w:w="10350" w:type="dxa"/>
            <w:vAlign w:val="center"/>
            <w:hideMark/>
          </w:tcPr>
          <w:p w14:paraId="436BB0E0"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B10: There are additional safeguards, conditions, and protections when insurance companies use, share, or re-use health data. </w:t>
            </w:r>
          </w:p>
        </w:tc>
        <w:tc>
          <w:tcPr>
            <w:tcW w:w="1878" w:type="dxa"/>
          </w:tcPr>
          <w:p w14:paraId="156D6063"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7C87D377" w14:textId="77777777" w:rsidTr="00081251">
        <w:tc>
          <w:tcPr>
            <w:tcW w:w="10350" w:type="dxa"/>
            <w:tcBorders>
              <w:bottom w:val="single" w:sz="12" w:space="0" w:color="auto"/>
            </w:tcBorders>
            <w:vAlign w:val="center"/>
            <w:hideMark/>
          </w:tcPr>
          <w:p w14:paraId="567999AA"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B11: There are additional safeguards, conditions, and protections when pharmaceutical companies use, share, or re-use health data. </w:t>
            </w:r>
          </w:p>
        </w:tc>
        <w:tc>
          <w:tcPr>
            <w:tcW w:w="1878" w:type="dxa"/>
            <w:tcBorders>
              <w:bottom w:val="single" w:sz="12" w:space="0" w:color="auto"/>
            </w:tcBorders>
          </w:tcPr>
          <w:p w14:paraId="1208F410"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5EB9167C" w:rsidRPr="00081251" w14:paraId="1BEB6421" w14:textId="77777777" w:rsidTr="00081251">
        <w:tc>
          <w:tcPr>
            <w:tcW w:w="10350" w:type="dxa"/>
            <w:tcBorders>
              <w:top w:val="single" w:sz="12" w:space="0" w:color="auto"/>
              <w:bottom w:val="single" w:sz="12" w:space="0" w:color="auto"/>
            </w:tcBorders>
            <w:shd w:val="clear" w:color="auto" w:fill="DBDBDB" w:themeFill="accent3" w:themeFillTint="66"/>
            <w:vAlign w:val="center"/>
            <w:hideMark/>
          </w:tcPr>
          <w:p w14:paraId="4FAF09D4" w14:textId="293EE2C2" w:rsidR="0B8C9CCB" w:rsidRPr="00081251" w:rsidRDefault="0B8C9CCB" w:rsidP="5EB9167C">
            <w:pPr>
              <w:widowControl w:val="0"/>
              <w:spacing w:after="0" w:line="240" w:lineRule="auto"/>
              <w:rPr>
                <w:rFonts w:ascii="Cambria" w:eastAsia="Times New Roman" w:hAnsi="Cambria" w:cs="Calibri"/>
                <w:b/>
                <w:bCs/>
              </w:rPr>
            </w:pPr>
            <w:r w:rsidRPr="00081251">
              <w:rPr>
                <w:rFonts w:ascii="Cambria" w:eastAsia="Times New Roman" w:hAnsi="Cambria" w:cs="Calibri"/>
                <w:b/>
                <w:bCs/>
              </w:rPr>
              <w:t>C: Equity and Fairness</w:t>
            </w:r>
          </w:p>
        </w:tc>
        <w:tc>
          <w:tcPr>
            <w:tcW w:w="1878" w:type="dxa"/>
            <w:tcBorders>
              <w:top w:val="single" w:sz="12" w:space="0" w:color="auto"/>
              <w:bottom w:val="single" w:sz="12" w:space="0" w:color="auto"/>
            </w:tcBorders>
            <w:shd w:val="clear" w:color="auto" w:fill="DBDBDB" w:themeFill="accent3" w:themeFillTint="66"/>
          </w:tcPr>
          <w:p w14:paraId="72A80E9F" w14:textId="2FDE72D4" w:rsidR="5EB9167C" w:rsidRPr="00081251" w:rsidRDefault="5EB9167C" w:rsidP="00081251">
            <w:pPr>
              <w:widowControl w:val="0"/>
              <w:spacing w:after="0" w:line="240" w:lineRule="auto"/>
              <w:rPr>
                <w:rFonts w:ascii="Cambria" w:eastAsia="Times New Roman" w:hAnsi="Cambria" w:cs="Calibri"/>
                <w:b/>
                <w:bCs/>
              </w:rPr>
            </w:pPr>
          </w:p>
        </w:tc>
      </w:tr>
      <w:tr w:rsidR="00653F41" w:rsidRPr="004D120A" w14:paraId="2D148E1D" w14:textId="77777777" w:rsidTr="00081251">
        <w:tc>
          <w:tcPr>
            <w:tcW w:w="10350" w:type="dxa"/>
            <w:tcBorders>
              <w:top w:val="single" w:sz="12" w:space="0" w:color="auto"/>
            </w:tcBorders>
            <w:vAlign w:val="center"/>
            <w:hideMark/>
          </w:tcPr>
          <w:p w14:paraId="00C83DC4" w14:textId="77777777" w:rsidR="00376912" w:rsidRPr="004D120A" w:rsidRDefault="00376912" w:rsidP="002E029C">
            <w:pPr>
              <w:widowControl w:val="0"/>
              <w:spacing w:after="0" w:line="240" w:lineRule="auto"/>
              <w:rPr>
                <w:rFonts w:ascii="Cambria" w:eastAsia="Times New Roman" w:hAnsi="Cambria" w:cs="Calibri"/>
              </w:rPr>
            </w:pPr>
            <w:r w:rsidRPr="004D120A">
              <w:rPr>
                <w:rFonts w:ascii="Cambria" w:eastAsia="Times New Roman" w:hAnsi="Cambria" w:cs="Calibri"/>
              </w:rPr>
              <w:t>C1: Health data are not used in ways that create stigma or discriminate against groups. </w:t>
            </w:r>
          </w:p>
        </w:tc>
        <w:tc>
          <w:tcPr>
            <w:tcW w:w="1878" w:type="dxa"/>
            <w:tcBorders>
              <w:top w:val="single" w:sz="12" w:space="0" w:color="auto"/>
            </w:tcBorders>
          </w:tcPr>
          <w:p w14:paraId="1CF639CF" w14:textId="77777777" w:rsidR="00376912" w:rsidRPr="004D120A" w:rsidRDefault="00376912" w:rsidP="002E029C">
            <w:pPr>
              <w:widowControl w:val="0"/>
              <w:spacing w:after="0" w:line="240" w:lineRule="auto"/>
              <w:jc w:val="center"/>
              <w:rPr>
                <w:rFonts w:ascii="Cambria" w:eastAsia="Times New Roman" w:hAnsi="Cambria" w:cs="Calibri"/>
              </w:rPr>
            </w:pPr>
            <w:r w:rsidRPr="004D120A">
              <w:rPr>
                <w:rFonts w:ascii="Cambria" w:eastAsia="Times New Roman" w:hAnsi="Cambria" w:cs="Calibri"/>
              </w:rPr>
              <w:t>3</w:t>
            </w:r>
          </w:p>
        </w:tc>
      </w:tr>
      <w:tr w:rsidR="00653F41" w:rsidRPr="004D120A" w14:paraId="7D044716" w14:textId="77777777" w:rsidTr="61029005">
        <w:tc>
          <w:tcPr>
            <w:tcW w:w="10350" w:type="dxa"/>
            <w:vAlign w:val="center"/>
            <w:hideMark/>
          </w:tcPr>
          <w:p w14:paraId="016550A0"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C2: Health data for and about systemically marginalized populations (for example data about people with disabilities), are only used, shared, or re-used for purposes that the intended beneficiaries support. </w:t>
            </w:r>
          </w:p>
        </w:tc>
        <w:tc>
          <w:tcPr>
            <w:tcW w:w="1878" w:type="dxa"/>
          </w:tcPr>
          <w:p w14:paraId="26D2B8B2"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2CBCF738" w14:textId="77777777" w:rsidTr="61029005">
        <w:tc>
          <w:tcPr>
            <w:tcW w:w="10350" w:type="dxa"/>
            <w:vAlign w:val="center"/>
            <w:hideMark/>
          </w:tcPr>
          <w:p w14:paraId="240BF68D"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C3: Indigenous data sovereignty and the right to Indigenous self-determination are acknowledged and respected. </w:t>
            </w:r>
          </w:p>
        </w:tc>
        <w:tc>
          <w:tcPr>
            <w:tcW w:w="1878" w:type="dxa"/>
          </w:tcPr>
          <w:p w14:paraId="79FE52D7"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4</w:t>
            </w:r>
          </w:p>
        </w:tc>
      </w:tr>
      <w:tr w:rsidR="00653F41" w:rsidRPr="004D120A" w14:paraId="3A40C7C9" w14:textId="77777777" w:rsidTr="61029005">
        <w:tc>
          <w:tcPr>
            <w:tcW w:w="10350" w:type="dxa"/>
            <w:vAlign w:val="center"/>
            <w:hideMark/>
          </w:tcPr>
          <w:p w14:paraId="042E57F5"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C4: People who contribute their health data are not exploited by any organization or individual. </w:t>
            </w:r>
          </w:p>
        </w:tc>
        <w:tc>
          <w:tcPr>
            <w:tcW w:w="1878" w:type="dxa"/>
          </w:tcPr>
          <w:p w14:paraId="00F10B07"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06C2FC3A" w14:textId="77777777" w:rsidTr="61029005">
        <w:tc>
          <w:tcPr>
            <w:tcW w:w="10350" w:type="dxa"/>
            <w:tcBorders>
              <w:bottom w:val="single" w:sz="12" w:space="0" w:color="auto"/>
            </w:tcBorders>
            <w:vAlign w:val="center"/>
            <w:hideMark/>
          </w:tcPr>
          <w:p w14:paraId="639AA978" w14:textId="77777777" w:rsidR="00376912" w:rsidRPr="004D120A" w:rsidRDefault="00376912" w:rsidP="002E029C">
            <w:pPr>
              <w:widowControl w:val="0"/>
              <w:spacing w:after="0" w:line="240" w:lineRule="auto"/>
              <w:rPr>
                <w:rFonts w:ascii="Cambria" w:eastAsia="Times New Roman" w:hAnsi="Cambria" w:cs="Calibri"/>
              </w:rPr>
            </w:pPr>
            <w:r w:rsidRPr="004D120A">
              <w:rPr>
                <w:rFonts w:ascii="Cambria" w:eastAsia="Times New Roman" w:hAnsi="Cambria" w:cs="Calibri"/>
                <w:color w:val="000000" w:themeColor="text1"/>
              </w:rPr>
              <w:t>C5: Systemically marginalized populations have control over how their data are used, shared, or re-used. </w:t>
            </w:r>
          </w:p>
        </w:tc>
        <w:tc>
          <w:tcPr>
            <w:tcW w:w="1878" w:type="dxa"/>
            <w:tcBorders>
              <w:bottom w:val="single" w:sz="12" w:space="0" w:color="auto"/>
            </w:tcBorders>
          </w:tcPr>
          <w:p w14:paraId="3F6452A3"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3</w:t>
            </w:r>
          </w:p>
        </w:tc>
      </w:tr>
      <w:tr w:rsidR="5EB9167C" w:rsidRPr="00081251" w14:paraId="49786676" w14:textId="77777777" w:rsidTr="00081251">
        <w:tc>
          <w:tcPr>
            <w:tcW w:w="10350" w:type="dxa"/>
            <w:tcBorders>
              <w:top w:val="single" w:sz="12" w:space="0" w:color="auto"/>
            </w:tcBorders>
            <w:shd w:val="clear" w:color="auto" w:fill="DBDBDB" w:themeFill="accent3" w:themeFillTint="66"/>
            <w:vAlign w:val="center"/>
            <w:hideMark/>
          </w:tcPr>
          <w:p w14:paraId="61558E44" w14:textId="1837FA34" w:rsidR="58D771B2" w:rsidRPr="00081251" w:rsidRDefault="58D771B2" w:rsidP="5EB9167C">
            <w:pPr>
              <w:keepNext/>
              <w:widowControl w:val="0"/>
              <w:spacing w:after="0" w:line="240" w:lineRule="auto"/>
              <w:rPr>
                <w:rFonts w:ascii="Cambria" w:eastAsia="Times New Roman" w:hAnsi="Cambria" w:cs="Calibri"/>
                <w:b/>
                <w:color w:val="000000" w:themeColor="text1"/>
              </w:rPr>
            </w:pPr>
            <w:r w:rsidRPr="00081251">
              <w:rPr>
                <w:rFonts w:ascii="Cambria" w:eastAsia="Times New Roman" w:hAnsi="Cambria" w:cs="Calibri"/>
                <w:b/>
                <w:color w:val="000000" w:themeColor="text1"/>
              </w:rPr>
              <w:lastRenderedPageBreak/>
              <w:t>D: Governance and Oversight </w:t>
            </w:r>
          </w:p>
        </w:tc>
        <w:tc>
          <w:tcPr>
            <w:tcW w:w="1878" w:type="dxa"/>
            <w:tcBorders>
              <w:top w:val="single" w:sz="12" w:space="0" w:color="auto"/>
            </w:tcBorders>
            <w:shd w:val="clear" w:color="auto" w:fill="DBDBDB" w:themeFill="accent3" w:themeFillTint="66"/>
          </w:tcPr>
          <w:p w14:paraId="639220CE" w14:textId="58A708AA" w:rsidR="5EB9167C" w:rsidRPr="00081251" w:rsidRDefault="5EB9167C" w:rsidP="5EB9167C">
            <w:pPr>
              <w:spacing w:line="240" w:lineRule="auto"/>
              <w:jc w:val="center"/>
              <w:rPr>
                <w:rFonts w:ascii="Cambria" w:eastAsia="Times New Roman" w:hAnsi="Cambria" w:cs="Calibri"/>
                <w:b/>
                <w:color w:val="000000" w:themeColor="text1"/>
              </w:rPr>
            </w:pPr>
          </w:p>
        </w:tc>
      </w:tr>
      <w:tr w:rsidR="00653F41" w:rsidRPr="004D120A" w14:paraId="3B7B6B64" w14:textId="77777777" w:rsidTr="61029005">
        <w:tc>
          <w:tcPr>
            <w:tcW w:w="10350" w:type="dxa"/>
            <w:tcBorders>
              <w:top w:val="single" w:sz="12" w:space="0" w:color="auto"/>
            </w:tcBorders>
            <w:vAlign w:val="center"/>
            <w:hideMark/>
          </w:tcPr>
          <w:p w14:paraId="664C2C43"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D1: Accountable governance bodies for health data are in place. </w:t>
            </w:r>
          </w:p>
        </w:tc>
        <w:tc>
          <w:tcPr>
            <w:tcW w:w="1878" w:type="dxa"/>
            <w:tcBorders>
              <w:top w:val="single" w:sz="12" w:space="0" w:color="auto"/>
            </w:tcBorders>
          </w:tcPr>
          <w:p w14:paraId="134AE68D"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6</w:t>
            </w:r>
          </w:p>
        </w:tc>
      </w:tr>
      <w:tr w:rsidR="00653F41" w:rsidRPr="004D120A" w14:paraId="4D877EA3" w14:textId="77777777" w:rsidTr="61029005">
        <w:tc>
          <w:tcPr>
            <w:tcW w:w="10350" w:type="dxa"/>
            <w:vAlign w:val="center"/>
          </w:tcPr>
          <w:p w14:paraId="3C082DBC" w14:textId="24232F7D"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D2: Data collection doesn't create undue burden on </w:t>
            </w:r>
            <w:r w:rsidR="000673C9">
              <w:rPr>
                <w:rFonts w:asciiTheme="majorHAnsi" w:eastAsia="Times New Roman" w:hAnsiTheme="majorHAnsi" w:cstheme="majorBidi"/>
                <w:i/>
                <w:iCs/>
                <w:color w:val="4472C4" w:themeColor="accent1"/>
              </w:rPr>
              <w:t>healthcare</w:t>
            </w:r>
            <w:r w:rsidRPr="004D120A">
              <w:rPr>
                <w:rFonts w:asciiTheme="majorHAnsi" w:eastAsia="Times New Roman" w:hAnsiTheme="majorHAnsi" w:cstheme="majorBidi"/>
                <w:i/>
                <w:iCs/>
                <w:color w:val="4472C4" w:themeColor="accent1"/>
              </w:rPr>
              <w:t xml:space="preserve"> workers. </w:t>
            </w:r>
          </w:p>
        </w:tc>
        <w:tc>
          <w:tcPr>
            <w:tcW w:w="1878" w:type="dxa"/>
          </w:tcPr>
          <w:p w14:paraId="20CF589F"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653F41" w:rsidRPr="004D120A" w14:paraId="793DFF8B" w14:textId="77777777" w:rsidTr="61029005">
        <w:tc>
          <w:tcPr>
            <w:tcW w:w="10350" w:type="dxa"/>
            <w:vAlign w:val="center"/>
          </w:tcPr>
          <w:p w14:paraId="6B772DA4"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D3: External third-party oversight is in place for health data (e.g., an Information and Privacy Commissioner). </w:t>
            </w:r>
          </w:p>
        </w:tc>
        <w:tc>
          <w:tcPr>
            <w:tcW w:w="1878" w:type="dxa"/>
          </w:tcPr>
          <w:p w14:paraId="561EDE2B"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7</w:t>
            </w:r>
          </w:p>
        </w:tc>
      </w:tr>
      <w:tr w:rsidR="00653F41" w:rsidRPr="004D120A" w14:paraId="3C77E730" w14:textId="77777777" w:rsidTr="61029005">
        <w:tc>
          <w:tcPr>
            <w:tcW w:w="10350" w:type="dxa"/>
            <w:vAlign w:val="center"/>
          </w:tcPr>
          <w:p w14:paraId="337B041E"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D4: External third-party oversight is in place for health data (e.g., data stewards). </w:t>
            </w:r>
          </w:p>
        </w:tc>
        <w:tc>
          <w:tcPr>
            <w:tcW w:w="1878" w:type="dxa"/>
          </w:tcPr>
          <w:p w14:paraId="1159C8C5"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082371F1" w14:textId="77777777" w:rsidTr="61029005">
        <w:tc>
          <w:tcPr>
            <w:tcW w:w="10350" w:type="dxa"/>
            <w:vAlign w:val="center"/>
          </w:tcPr>
          <w:p w14:paraId="41DC488C" w14:textId="2FC1F3BC"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D5: External third-party oversight for health data is a new collaboration formed by patients, academia, government, industry</w:t>
            </w:r>
            <w:r w:rsidR="002C7205">
              <w:rPr>
                <w:rFonts w:asciiTheme="majorHAnsi" w:eastAsia="Times New Roman" w:hAnsiTheme="majorHAnsi" w:cstheme="majorBidi"/>
                <w:i/>
                <w:iCs/>
                <w:color w:val="4472C4" w:themeColor="accent1"/>
              </w:rPr>
              <w:t>,</w:t>
            </w:r>
            <w:r w:rsidRPr="004D120A">
              <w:rPr>
                <w:rFonts w:asciiTheme="majorHAnsi" w:eastAsia="Times New Roman" w:hAnsiTheme="majorHAnsi" w:cstheme="majorBidi"/>
                <w:i/>
                <w:iCs/>
                <w:color w:val="4472C4" w:themeColor="accent1"/>
              </w:rPr>
              <w:t xml:space="preserve"> and other relevant stakeholders. </w:t>
            </w:r>
          </w:p>
        </w:tc>
        <w:tc>
          <w:tcPr>
            <w:tcW w:w="1878" w:type="dxa"/>
          </w:tcPr>
          <w:p w14:paraId="3AD7E971"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7AE52FC3" w14:textId="77777777" w:rsidTr="61029005">
        <w:tc>
          <w:tcPr>
            <w:tcW w:w="10350" w:type="dxa"/>
            <w:vAlign w:val="center"/>
          </w:tcPr>
          <w:p w14:paraId="15BD7EFD"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D6: Governance and decision-making bodies (e.g., Boards of Directors) include patients and members of the public. </w:t>
            </w:r>
          </w:p>
        </w:tc>
        <w:tc>
          <w:tcPr>
            <w:tcW w:w="1878" w:type="dxa"/>
          </w:tcPr>
          <w:p w14:paraId="21BD6C0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4</w:t>
            </w:r>
          </w:p>
        </w:tc>
      </w:tr>
      <w:tr w:rsidR="00653F41" w:rsidRPr="004D120A" w14:paraId="64E7BA0C" w14:textId="77777777" w:rsidTr="61029005">
        <w:tc>
          <w:tcPr>
            <w:tcW w:w="10350" w:type="dxa"/>
            <w:vAlign w:val="center"/>
          </w:tcPr>
          <w:p w14:paraId="7E668BD9" w14:textId="7D62542A"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D7: Governments have the responsibility to protect, collaborate</w:t>
            </w:r>
            <w:r w:rsidR="002C7205">
              <w:rPr>
                <w:rFonts w:asciiTheme="majorHAnsi" w:eastAsia="Times New Roman" w:hAnsiTheme="majorHAnsi" w:cstheme="majorBidi"/>
                <w:i/>
                <w:iCs/>
                <w:color w:val="4472C4" w:themeColor="accent1"/>
              </w:rPr>
              <w:t>,</w:t>
            </w:r>
            <w:r w:rsidRPr="004D120A">
              <w:rPr>
                <w:rFonts w:asciiTheme="majorHAnsi" w:eastAsia="Times New Roman" w:hAnsiTheme="majorHAnsi" w:cstheme="majorBidi"/>
                <w:i/>
                <w:iCs/>
                <w:color w:val="4472C4" w:themeColor="accent1"/>
              </w:rPr>
              <w:t xml:space="preserve"> and</w:t>
            </w:r>
            <w:r w:rsidR="002C7205">
              <w:rPr>
                <w:rFonts w:asciiTheme="majorHAnsi" w:eastAsia="Times New Roman" w:hAnsiTheme="majorHAnsi" w:cstheme="majorBidi"/>
                <w:i/>
                <w:iCs/>
                <w:color w:val="4472C4" w:themeColor="accent1"/>
              </w:rPr>
              <w:t xml:space="preserve"> act on data that are</w:t>
            </w:r>
            <w:r w:rsidRPr="004D120A">
              <w:rPr>
                <w:rFonts w:asciiTheme="majorHAnsi" w:eastAsia="Times New Roman" w:hAnsiTheme="majorHAnsi" w:cstheme="majorBidi"/>
                <w:i/>
                <w:iCs/>
                <w:color w:val="4472C4" w:themeColor="accent1"/>
              </w:rPr>
              <w:t xml:space="preserve"> collected to ensure public benefit is produced. </w:t>
            </w:r>
          </w:p>
        </w:tc>
        <w:tc>
          <w:tcPr>
            <w:tcW w:w="1878" w:type="dxa"/>
          </w:tcPr>
          <w:p w14:paraId="3F1006F5"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1E1A2D6E" w14:textId="77777777" w:rsidTr="61029005">
        <w:tc>
          <w:tcPr>
            <w:tcW w:w="10350" w:type="dxa"/>
            <w:vAlign w:val="center"/>
          </w:tcPr>
          <w:p w14:paraId="313C6377"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rPr>
              <w:t xml:space="preserve">D8: Health data are held by organizations that are </w:t>
            </w:r>
            <w:r w:rsidRPr="004D120A">
              <w:rPr>
                <w:rFonts w:asciiTheme="majorHAnsi" w:eastAsia="Times New Roman" w:hAnsiTheme="majorHAnsi" w:cstheme="majorBidi"/>
                <w:i/>
                <w:iCs/>
                <w:color w:val="4472C4" w:themeColor="accent1"/>
              </w:rPr>
              <w:t xml:space="preserve">seen as trustworthy by the people and organizations that contribute data to them. </w:t>
            </w:r>
          </w:p>
        </w:tc>
        <w:tc>
          <w:tcPr>
            <w:tcW w:w="1878" w:type="dxa"/>
          </w:tcPr>
          <w:p w14:paraId="74C0A8D7" w14:textId="77777777" w:rsidR="00376912" w:rsidRPr="004D120A" w:rsidRDefault="00376912" w:rsidP="002E029C">
            <w:pPr>
              <w:widowControl w:val="0"/>
              <w:spacing w:after="0" w:line="240" w:lineRule="auto"/>
              <w:jc w:val="center"/>
              <w:rPr>
                <w:rFonts w:ascii="Cambria" w:eastAsia="Times New Roman" w:hAnsi="Cambria" w:cs="Calibri"/>
              </w:rPr>
            </w:pPr>
            <w:r w:rsidRPr="004D120A">
              <w:rPr>
                <w:rFonts w:ascii="Cambria" w:eastAsia="Times New Roman" w:hAnsi="Cambria" w:cs="Calibri"/>
              </w:rPr>
              <w:t>8</w:t>
            </w:r>
          </w:p>
        </w:tc>
      </w:tr>
      <w:tr w:rsidR="00653F41" w:rsidRPr="004D120A" w14:paraId="5A00A726" w14:textId="77777777" w:rsidTr="61029005">
        <w:tc>
          <w:tcPr>
            <w:tcW w:w="10350" w:type="dxa"/>
            <w:vAlign w:val="center"/>
          </w:tcPr>
          <w:p w14:paraId="528F0153" w14:textId="77777777" w:rsidR="00376912" w:rsidRPr="004D120A" w:rsidRDefault="00376912" w:rsidP="002E029C">
            <w:pPr>
              <w:widowControl w:val="0"/>
              <w:spacing w:after="0" w:line="240" w:lineRule="auto"/>
              <w:rPr>
                <w:rFonts w:asciiTheme="majorHAnsi" w:eastAsia="Times New Roman" w:hAnsiTheme="majorHAnsi" w:cstheme="majorBidi"/>
                <w:i/>
                <w:iCs/>
              </w:rPr>
            </w:pPr>
            <w:r w:rsidRPr="004D120A">
              <w:rPr>
                <w:rFonts w:asciiTheme="majorHAnsi" w:eastAsia="Times New Roman" w:hAnsiTheme="majorHAnsi" w:cstheme="majorBidi"/>
                <w:i/>
                <w:iCs/>
                <w:color w:val="4472C4" w:themeColor="accent1"/>
              </w:rPr>
              <w:t xml:space="preserve">D9: Health data are only used for approved purposes. </w:t>
            </w:r>
          </w:p>
        </w:tc>
        <w:tc>
          <w:tcPr>
            <w:tcW w:w="1878" w:type="dxa"/>
          </w:tcPr>
          <w:p w14:paraId="5332AC16"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4FB0DBDE" w14:textId="77777777" w:rsidTr="61029005">
        <w:tc>
          <w:tcPr>
            <w:tcW w:w="10350" w:type="dxa"/>
            <w:vAlign w:val="center"/>
            <w:hideMark/>
          </w:tcPr>
          <w:p w14:paraId="74403C59"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D10: Health data are only used, shared, or re-used for purposes that are legitimate. </w:t>
            </w:r>
          </w:p>
        </w:tc>
        <w:tc>
          <w:tcPr>
            <w:tcW w:w="1878" w:type="dxa"/>
          </w:tcPr>
          <w:p w14:paraId="5F580B28"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2</w:t>
            </w:r>
          </w:p>
        </w:tc>
      </w:tr>
      <w:tr w:rsidR="00653F41" w:rsidRPr="004D120A" w14:paraId="676DD665" w14:textId="77777777" w:rsidTr="61029005">
        <w:tc>
          <w:tcPr>
            <w:tcW w:w="10350" w:type="dxa"/>
            <w:vAlign w:val="center"/>
          </w:tcPr>
          <w:p w14:paraId="5A109AE7"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D11: Health data sharing is strongly supported by legislation. </w:t>
            </w:r>
          </w:p>
        </w:tc>
        <w:tc>
          <w:tcPr>
            <w:tcW w:w="1878" w:type="dxa"/>
          </w:tcPr>
          <w:p w14:paraId="4A13749F"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58CA1AE9" w14:textId="77777777" w:rsidTr="61029005">
        <w:tc>
          <w:tcPr>
            <w:tcW w:w="10350" w:type="dxa"/>
            <w:vAlign w:val="center"/>
          </w:tcPr>
          <w:p w14:paraId="144D49CB" w14:textId="77777777" w:rsidR="00376912" w:rsidRPr="004D120A" w:rsidRDefault="00376912" w:rsidP="002E029C">
            <w:pPr>
              <w:widowControl w:val="0"/>
              <w:spacing w:after="0" w:line="240" w:lineRule="auto"/>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 xml:space="preserve">D12: It is important that trusted and prominent leaders are involved in the collection of health data within communities. </w:t>
            </w:r>
          </w:p>
        </w:tc>
        <w:tc>
          <w:tcPr>
            <w:tcW w:w="1878" w:type="dxa"/>
          </w:tcPr>
          <w:p w14:paraId="7414B0A8"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071F3C3F" w14:textId="77777777" w:rsidTr="61029005">
        <w:tc>
          <w:tcPr>
            <w:tcW w:w="10350" w:type="dxa"/>
            <w:vAlign w:val="center"/>
            <w:hideMark/>
          </w:tcPr>
          <w:p w14:paraId="6557FA5F"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D13: National and international agreements are in place for the use and sharing of health data. </w:t>
            </w:r>
          </w:p>
        </w:tc>
        <w:tc>
          <w:tcPr>
            <w:tcW w:w="1878" w:type="dxa"/>
          </w:tcPr>
          <w:p w14:paraId="7B2CF77C"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486DF36D" w14:textId="77777777" w:rsidTr="61029005">
        <w:tc>
          <w:tcPr>
            <w:tcW w:w="10350" w:type="dxa"/>
            <w:vAlign w:val="center"/>
            <w:hideMark/>
          </w:tcPr>
          <w:p w14:paraId="27F95E52"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D14: The intended beneficiaries are involved in decisions about how health data are used, shared, or re-used. </w:t>
            </w:r>
          </w:p>
        </w:tc>
        <w:tc>
          <w:tcPr>
            <w:tcW w:w="1878" w:type="dxa"/>
          </w:tcPr>
          <w:p w14:paraId="24A426B7"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4</w:t>
            </w:r>
          </w:p>
        </w:tc>
      </w:tr>
      <w:tr w:rsidR="00653F41" w:rsidRPr="004D120A" w14:paraId="11CE90A8" w14:textId="77777777" w:rsidTr="61029005">
        <w:tc>
          <w:tcPr>
            <w:tcW w:w="10350" w:type="dxa"/>
            <w:vAlign w:val="center"/>
          </w:tcPr>
          <w:p w14:paraId="21B17542"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D15: There are serious penalties and consequences for illegal activities such as data theft and fraud, and unauthorized data sharing (e.g., with third parties). </w:t>
            </w:r>
          </w:p>
        </w:tc>
        <w:tc>
          <w:tcPr>
            <w:tcW w:w="1878" w:type="dxa"/>
          </w:tcPr>
          <w:p w14:paraId="2FEC2830"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5</w:t>
            </w:r>
          </w:p>
        </w:tc>
      </w:tr>
      <w:tr w:rsidR="00653F41" w:rsidRPr="004D120A" w14:paraId="139EAAC0" w14:textId="77777777" w:rsidTr="61029005">
        <w:tc>
          <w:tcPr>
            <w:tcW w:w="10350" w:type="dxa"/>
            <w:vAlign w:val="center"/>
            <w:hideMark/>
          </w:tcPr>
          <w:p w14:paraId="051A2073"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D16: There is a complaint process that is available to people in cases where they believe the use, sharing, or re-use of their health data violates legislation or the consent that they have provided. </w:t>
            </w:r>
          </w:p>
        </w:tc>
        <w:tc>
          <w:tcPr>
            <w:tcW w:w="1878" w:type="dxa"/>
          </w:tcPr>
          <w:p w14:paraId="565B9CE4"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6534E127" w14:textId="77777777" w:rsidTr="61029005">
        <w:tc>
          <w:tcPr>
            <w:tcW w:w="10350" w:type="dxa"/>
            <w:vAlign w:val="center"/>
            <w:hideMark/>
          </w:tcPr>
          <w:p w14:paraId="04B5D4C7"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lastRenderedPageBreak/>
              <w:t xml:space="preserve">D17: There is formal notice about how health data will be processed, used, shared, or re-used before health data are collected. </w:t>
            </w:r>
          </w:p>
        </w:tc>
        <w:tc>
          <w:tcPr>
            <w:tcW w:w="1878" w:type="dxa"/>
          </w:tcPr>
          <w:p w14:paraId="4EB086EC"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6</w:t>
            </w:r>
          </w:p>
        </w:tc>
      </w:tr>
      <w:tr w:rsidR="00653F41" w:rsidRPr="004D120A" w14:paraId="45B03DF0" w14:textId="77777777" w:rsidTr="61029005">
        <w:tc>
          <w:tcPr>
            <w:tcW w:w="10350" w:type="dxa"/>
            <w:tcBorders>
              <w:bottom w:val="single" w:sz="12" w:space="0" w:color="auto"/>
            </w:tcBorders>
            <w:shd w:val="clear" w:color="auto" w:fill="auto"/>
            <w:vAlign w:val="center"/>
            <w:hideMark/>
          </w:tcPr>
          <w:p w14:paraId="174CECBF"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D18: Unless there is expressed consent for data sharing, health data are stored in Canadian jurisdictions and stay within Canadian law. </w:t>
            </w:r>
          </w:p>
        </w:tc>
        <w:tc>
          <w:tcPr>
            <w:tcW w:w="1878" w:type="dxa"/>
            <w:tcBorders>
              <w:bottom w:val="single" w:sz="12" w:space="0" w:color="auto"/>
            </w:tcBorders>
          </w:tcPr>
          <w:p w14:paraId="7D231381"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081251" w:rsidRPr="00081251" w14:paraId="76787038" w14:textId="77777777" w:rsidTr="00081251">
        <w:tc>
          <w:tcPr>
            <w:tcW w:w="10350" w:type="dxa"/>
            <w:tcBorders>
              <w:top w:val="single" w:sz="12" w:space="0" w:color="auto"/>
            </w:tcBorders>
            <w:shd w:val="clear" w:color="auto" w:fill="DBDBDB" w:themeFill="accent3" w:themeFillTint="66"/>
            <w:vAlign w:val="center"/>
          </w:tcPr>
          <w:p w14:paraId="31E098A2" w14:textId="7C4BC4B6" w:rsidR="7D5D86B3" w:rsidRPr="00081251" w:rsidRDefault="7D5D86B3" w:rsidP="5EB9167C">
            <w:pPr>
              <w:widowControl w:val="0"/>
              <w:spacing w:after="0" w:line="240" w:lineRule="auto"/>
              <w:rPr>
                <w:rFonts w:ascii="Cambria" w:eastAsia="Times New Roman" w:hAnsi="Cambria" w:cs="Calibri"/>
                <w:b/>
              </w:rPr>
            </w:pPr>
            <w:r w:rsidRPr="00081251">
              <w:rPr>
                <w:rFonts w:ascii="Cambria" w:eastAsia="Times New Roman" w:hAnsi="Cambria" w:cs="Calibri"/>
                <w:b/>
              </w:rPr>
              <w:t>E: Personal Control and Involvement </w:t>
            </w:r>
          </w:p>
        </w:tc>
        <w:tc>
          <w:tcPr>
            <w:tcW w:w="1878" w:type="dxa"/>
            <w:tcBorders>
              <w:top w:val="single" w:sz="12" w:space="0" w:color="auto"/>
            </w:tcBorders>
            <w:shd w:val="clear" w:color="auto" w:fill="DBDBDB" w:themeFill="accent3" w:themeFillTint="66"/>
          </w:tcPr>
          <w:p w14:paraId="219629E8" w14:textId="66455404" w:rsidR="5EB9167C" w:rsidRPr="00081251" w:rsidRDefault="5EB9167C" w:rsidP="5EB9167C">
            <w:pPr>
              <w:spacing w:line="240" w:lineRule="auto"/>
              <w:jc w:val="center"/>
              <w:rPr>
                <w:rFonts w:asciiTheme="majorHAnsi" w:eastAsia="Times New Roman" w:hAnsiTheme="majorHAnsi" w:cstheme="majorBidi"/>
                <w:b/>
                <w:i/>
                <w:iCs/>
              </w:rPr>
            </w:pPr>
          </w:p>
        </w:tc>
      </w:tr>
      <w:tr w:rsidR="00653F41" w:rsidRPr="004D120A" w14:paraId="3E0D2224" w14:textId="77777777" w:rsidTr="61029005">
        <w:tc>
          <w:tcPr>
            <w:tcW w:w="10350" w:type="dxa"/>
            <w:tcBorders>
              <w:top w:val="single" w:sz="12" w:space="0" w:color="auto"/>
            </w:tcBorders>
            <w:vAlign w:val="center"/>
          </w:tcPr>
          <w:p w14:paraId="30F91755"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E1: Data access by organizations and people who do not usually have access is controlled by separate methods and governance. </w:t>
            </w:r>
          </w:p>
        </w:tc>
        <w:tc>
          <w:tcPr>
            <w:tcW w:w="1878" w:type="dxa"/>
            <w:tcBorders>
              <w:top w:val="single" w:sz="12" w:space="0" w:color="auto"/>
            </w:tcBorders>
          </w:tcPr>
          <w:p w14:paraId="5F00D58B"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2F9C979A" w14:textId="77777777" w:rsidTr="61029005">
        <w:tc>
          <w:tcPr>
            <w:tcW w:w="10350" w:type="dxa"/>
            <w:vAlign w:val="center"/>
            <w:hideMark/>
          </w:tcPr>
          <w:p w14:paraId="709BE7F3"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E2: Opt-in consent is obtained before health data are collected, used, shared, or re-used (i.e., people agree in writing to the use(s)/user(s) of their data). </w:t>
            </w:r>
          </w:p>
        </w:tc>
        <w:tc>
          <w:tcPr>
            <w:tcW w:w="1878" w:type="dxa"/>
          </w:tcPr>
          <w:p w14:paraId="281E5B2D"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4</w:t>
            </w:r>
          </w:p>
        </w:tc>
      </w:tr>
      <w:tr w:rsidR="00653F41" w:rsidRPr="004D120A" w14:paraId="21CE2023" w14:textId="77777777" w:rsidTr="61029005">
        <w:tc>
          <w:tcPr>
            <w:tcW w:w="10350" w:type="dxa"/>
            <w:vAlign w:val="center"/>
            <w:hideMark/>
          </w:tcPr>
          <w:p w14:paraId="72DC384D"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E3: Opt-out consent is obtained before health data are collected, used, shared, or re-used (i.e., people are provided with information about the proposed use(s)/user(s) and given the option of NOT having their data used). </w:t>
            </w:r>
          </w:p>
        </w:tc>
        <w:tc>
          <w:tcPr>
            <w:tcW w:w="1878" w:type="dxa"/>
          </w:tcPr>
          <w:p w14:paraId="0568D55E"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30D89389" w14:textId="77777777" w:rsidTr="61029005">
        <w:tc>
          <w:tcPr>
            <w:tcW w:w="10350" w:type="dxa"/>
            <w:vAlign w:val="center"/>
            <w:hideMark/>
          </w:tcPr>
          <w:p w14:paraId="350A3BCF"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E4: People can access information that is stored about their consents for health data and modify or withdraw their consents. </w:t>
            </w:r>
          </w:p>
        </w:tc>
        <w:tc>
          <w:tcPr>
            <w:tcW w:w="1878" w:type="dxa"/>
          </w:tcPr>
          <w:p w14:paraId="64A53469"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3</w:t>
            </w:r>
          </w:p>
        </w:tc>
      </w:tr>
      <w:tr w:rsidR="00653F41" w:rsidRPr="004D120A" w14:paraId="4BE8EA00" w14:textId="77777777" w:rsidTr="61029005">
        <w:tc>
          <w:tcPr>
            <w:tcW w:w="10350" w:type="dxa"/>
            <w:vAlign w:val="center"/>
            <w:hideMark/>
          </w:tcPr>
          <w:p w14:paraId="54AA6C73" w14:textId="56E7DEB4"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E5: People can correct inaccura</w:t>
            </w:r>
            <w:r w:rsidR="002C7205">
              <w:rPr>
                <w:rFonts w:ascii="Cambria" w:eastAsia="Times New Roman" w:hAnsi="Cambria" w:cs="Calibri"/>
                <w:color w:val="000000" w:themeColor="text1"/>
              </w:rPr>
              <w:t>cies in the health data that have</w:t>
            </w:r>
            <w:r w:rsidRPr="004D120A">
              <w:rPr>
                <w:rFonts w:ascii="Cambria" w:eastAsia="Times New Roman" w:hAnsi="Cambria" w:cs="Calibri"/>
                <w:color w:val="000000" w:themeColor="text1"/>
              </w:rPr>
              <w:t xml:space="preserve"> been compiled about them. </w:t>
            </w:r>
          </w:p>
        </w:tc>
        <w:tc>
          <w:tcPr>
            <w:tcW w:w="1878" w:type="dxa"/>
          </w:tcPr>
          <w:p w14:paraId="290F52D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5</w:t>
            </w:r>
          </w:p>
        </w:tc>
      </w:tr>
      <w:tr w:rsidR="00653F41" w:rsidRPr="004D120A" w14:paraId="3E42BADB" w14:textId="77777777" w:rsidTr="61029005">
        <w:tc>
          <w:tcPr>
            <w:tcW w:w="10350" w:type="dxa"/>
            <w:shd w:val="clear" w:color="auto" w:fill="auto"/>
            <w:vAlign w:val="center"/>
            <w:hideMark/>
          </w:tcPr>
          <w:p w14:paraId="7D3C46ED" w14:textId="5F54129E"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E6: People (and caregivers that they authorize) can </w:t>
            </w:r>
            <w:r w:rsidRPr="004D120A">
              <w:rPr>
                <w:rFonts w:asciiTheme="majorHAnsi" w:eastAsia="Times New Roman" w:hAnsiTheme="majorHAnsi" w:cstheme="majorBidi"/>
                <w:i/>
                <w:iCs/>
                <w:color w:val="4472C4" w:themeColor="accent1"/>
              </w:rPr>
              <w:t>easily access</w:t>
            </w:r>
            <w:r w:rsidRPr="004D120A">
              <w:rPr>
                <w:rFonts w:ascii="Cambria" w:eastAsia="Times New Roman" w:hAnsi="Cambria" w:cs="Calibri"/>
                <w:color w:val="4472C4" w:themeColor="accent1"/>
              </w:rPr>
              <w:t xml:space="preserve"> </w:t>
            </w:r>
            <w:r w:rsidR="002C7205">
              <w:rPr>
                <w:rFonts w:ascii="Cambria" w:eastAsia="Times New Roman" w:hAnsi="Cambria" w:cs="Calibri"/>
                <w:color w:val="000000" w:themeColor="text1"/>
              </w:rPr>
              <w:t>health data have</w:t>
            </w:r>
            <w:r w:rsidRPr="004D120A">
              <w:rPr>
                <w:rFonts w:ascii="Cambria" w:eastAsia="Times New Roman" w:hAnsi="Cambria" w:cs="Calibri"/>
                <w:color w:val="000000" w:themeColor="text1"/>
              </w:rPr>
              <w:t xml:space="preserve"> been compiled about them in a usable format (e.g., one that can be read by a computer or electronic device</w:t>
            </w:r>
            <w:r w:rsidR="002C7205" w:rsidRPr="004D120A">
              <w:rPr>
                <w:rFonts w:ascii="Cambria" w:eastAsia="Times New Roman" w:hAnsi="Cambria" w:cs="Calibri"/>
                <w:color w:val="000000" w:themeColor="text1"/>
              </w:rPr>
              <w:t xml:space="preserve">) </w:t>
            </w:r>
            <w:r w:rsidR="002C7205">
              <w:rPr>
                <w:rFonts w:ascii="Cambria" w:eastAsia="Times New Roman" w:hAnsi="Cambria" w:cs="Calibri"/>
                <w:color w:val="000000" w:themeColor="text1"/>
              </w:rPr>
              <w:t>and</w:t>
            </w:r>
            <w:r w:rsidRPr="004D120A">
              <w:rPr>
                <w:rFonts w:asciiTheme="majorHAnsi" w:eastAsia="Times New Roman" w:hAnsiTheme="majorHAnsi" w:cstheme="majorBidi"/>
                <w:i/>
                <w:iCs/>
                <w:color w:val="4472C4" w:themeColor="accent1"/>
                <w:u w:val="single"/>
              </w:rPr>
              <w:t xml:space="preserve"> in a timely manner</w:t>
            </w:r>
            <w:r w:rsidRPr="004D120A">
              <w:rPr>
                <w:rFonts w:asciiTheme="majorHAnsi" w:eastAsia="Times New Roman" w:hAnsiTheme="majorHAnsi" w:cstheme="majorBidi"/>
                <w:i/>
                <w:iCs/>
                <w:color w:val="4472C4" w:themeColor="accent1"/>
              </w:rPr>
              <w:t xml:space="preserve"> so that they can make informed decisions about their health and health care. </w:t>
            </w:r>
          </w:p>
        </w:tc>
        <w:tc>
          <w:tcPr>
            <w:tcW w:w="1878" w:type="dxa"/>
          </w:tcPr>
          <w:p w14:paraId="0C79F899"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8</w:t>
            </w:r>
          </w:p>
        </w:tc>
      </w:tr>
      <w:tr w:rsidR="00653F41" w:rsidRPr="004D120A" w14:paraId="7DB69DCC" w14:textId="77777777" w:rsidTr="61029005">
        <w:tc>
          <w:tcPr>
            <w:tcW w:w="10350" w:type="dxa"/>
            <w:shd w:val="clear" w:color="auto" w:fill="auto"/>
            <w:vAlign w:val="center"/>
          </w:tcPr>
          <w:p w14:paraId="2EA2DA07" w14:textId="04BBE486"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E7: People (and caregivers they authorize) can easily access heal</w:t>
            </w:r>
            <w:r w:rsidR="002C7205">
              <w:rPr>
                <w:rFonts w:asciiTheme="majorHAnsi" w:eastAsia="Times New Roman" w:hAnsiTheme="majorHAnsi" w:cstheme="majorBidi"/>
                <w:i/>
                <w:iCs/>
                <w:color w:val="4472C4" w:themeColor="accent1"/>
              </w:rPr>
              <w:t>th data that have</w:t>
            </w:r>
            <w:r w:rsidRPr="004D120A">
              <w:rPr>
                <w:rFonts w:asciiTheme="majorHAnsi" w:eastAsia="Times New Roman" w:hAnsiTheme="majorHAnsi" w:cstheme="majorBidi"/>
                <w:i/>
                <w:iCs/>
                <w:color w:val="4472C4" w:themeColor="accent1"/>
              </w:rPr>
              <w:t xml:space="preserve"> been compiled about them in a usable format (e.g., one that can be read by a computer or electronic device) </w:t>
            </w:r>
            <w:r w:rsidRPr="004D120A">
              <w:rPr>
                <w:rFonts w:asciiTheme="majorHAnsi" w:eastAsia="Times New Roman" w:hAnsiTheme="majorHAnsi" w:cstheme="majorBidi"/>
                <w:i/>
                <w:iCs/>
                <w:color w:val="4472C4" w:themeColor="accent1"/>
                <w:u w:val="single"/>
              </w:rPr>
              <w:t>in real time</w:t>
            </w:r>
            <w:r w:rsidRPr="004D120A">
              <w:rPr>
                <w:rFonts w:asciiTheme="majorHAnsi" w:eastAsia="Times New Roman" w:hAnsiTheme="majorHAnsi" w:cstheme="majorBidi"/>
                <w:i/>
                <w:iCs/>
                <w:color w:val="4472C4" w:themeColor="accent1"/>
              </w:rPr>
              <w:t xml:space="preserve"> so that they can make informed decisions about their health and health care. </w:t>
            </w:r>
          </w:p>
        </w:tc>
        <w:tc>
          <w:tcPr>
            <w:tcW w:w="1878" w:type="dxa"/>
          </w:tcPr>
          <w:p w14:paraId="389315C3"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2E9F2DCA" w14:textId="77777777" w:rsidTr="61029005">
        <w:tc>
          <w:tcPr>
            <w:tcW w:w="10350" w:type="dxa"/>
            <w:shd w:val="clear" w:color="auto" w:fill="auto"/>
            <w:vAlign w:val="center"/>
          </w:tcPr>
          <w:p w14:paraId="19704E92" w14:textId="1AB31915"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E8: People (and caregivers that they authorize) can</w:t>
            </w:r>
            <w:r w:rsidR="002C7205">
              <w:rPr>
                <w:rFonts w:asciiTheme="majorHAnsi" w:eastAsia="Times New Roman" w:hAnsiTheme="majorHAnsi" w:cstheme="majorBidi"/>
                <w:i/>
                <w:iCs/>
                <w:color w:val="4472C4" w:themeColor="accent1"/>
              </w:rPr>
              <w:t xml:space="preserve"> access the health data that have</w:t>
            </w:r>
            <w:r w:rsidRPr="004D120A">
              <w:rPr>
                <w:rFonts w:asciiTheme="majorHAnsi" w:eastAsia="Times New Roman" w:hAnsiTheme="majorHAnsi" w:cstheme="majorBidi"/>
                <w:i/>
                <w:iCs/>
                <w:color w:val="4472C4" w:themeColor="accent1"/>
              </w:rPr>
              <w:t xml:space="preserve"> been compiled about them in a format that is easily understood (e.g., charts and other data visualizations) </w:t>
            </w:r>
          </w:p>
        </w:tc>
        <w:tc>
          <w:tcPr>
            <w:tcW w:w="1878" w:type="dxa"/>
          </w:tcPr>
          <w:p w14:paraId="0482F289"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5B3DF832" w14:textId="77777777" w:rsidTr="61029005">
        <w:tc>
          <w:tcPr>
            <w:tcW w:w="10350" w:type="dxa"/>
            <w:shd w:val="clear" w:color="auto" w:fill="auto"/>
            <w:vAlign w:val="center"/>
          </w:tcPr>
          <w:p w14:paraId="0FA475E1"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E9: People can obtain the aggregate results and findings from research that makes use of their data. </w:t>
            </w:r>
          </w:p>
        </w:tc>
        <w:tc>
          <w:tcPr>
            <w:tcW w:w="1878" w:type="dxa"/>
          </w:tcPr>
          <w:p w14:paraId="334AE4F2"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74D68DDE" w14:textId="77777777" w:rsidTr="61029005">
        <w:tc>
          <w:tcPr>
            <w:tcW w:w="10350" w:type="dxa"/>
            <w:shd w:val="clear" w:color="auto" w:fill="auto"/>
            <w:vAlign w:val="center"/>
            <w:hideMark/>
          </w:tcPr>
          <w:p w14:paraId="64996D01"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E10: The contribution of health data is voluntary. </w:t>
            </w:r>
          </w:p>
        </w:tc>
        <w:tc>
          <w:tcPr>
            <w:tcW w:w="1878" w:type="dxa"/>
          </w:tcPr>
          <w:p w14:paraId="6CF7ADE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2</w:t>
            </w:r>
          </w:p>
        </w:tc>
      </w:tr>
      <w:tr w:rsidR="00653F41" w:rsidRPr="004D120A" w14:paraId="6B8E269E" w14:textId="77777777" w:rsidTr="61029005">
        <w:tc>
          <w:tcPr>
            <w:tcW w:w="10350" w:type="dxa"/>
            <w:shd w:val="clear" w:color="auto" w:fill="auto"/>
            <w:vAlign w:val="center"/>
            <w:hideMark/>
          </w:tcPr>
          <w:p w14:paraId="2ADC1166"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E11: There are alternative mechanisms for the involvement of people who do not have access to technology. </w:t>
            </w:r>
          </w:p>
        </w:tc>
        <w:tc>
          <w:tcPr>
            <w:tcW w:w="1878" w:type="dxa"/>
          </w:tcPr>
          <w:p w14:paraId="579433A5"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3</w:t>
            </w:r>
          </w:p>
        </w:tc>
      </w:tr>
      <w:tr w:rsidR="00653F41" w:rsidRPr="004D120A" w14:paraId="30639048" w14:textId="77777777" w:rsidTr="61029005">
        <w:tc>
          <w:tcPr>
            <w:tcW w:w="10350" w:type="dxa"/>
            <w:shd w:val="clear" w:color="auto" w:fill="auto"/>
            <w:vAlign w:val="center"/>
            <w:hideMark/>
          </w:tcPr>
          <w:p w14:paraId="24DA96A2"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E12: There are mechanisms for people to authorize access to their data by organizations and people that would not </w:t>
            </w:r>
            <w:r w:rsidRPr="004D120A">
              <w:rPr>
                <w:rFonts w:asciiTheme="majorHAnsi" w:eastAsia="Times New Roman" w:hAnsiTheme="majorHAnsi" w:cstheme="majorBidi"/>
                <w:i/>
                <w:iCs/>
                <w:color w:val="4F81BD"/>
              </w:rPr>
              <w:lastRenderedPageBreak/>
              <w:t xml:space="preserve">usually have access to their data. </w:t>
            </w:r>
          </w:p>
        </w:tc>
        <w:tc>
          <w:tcPr>
            <w:tcW w:w="1878" w:type="dxa"/>
          </w:tcPr>
          <w:p w14:paraId="70D1818A"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lastRenderedPageBreak/>
              <w:t>1</w:t>
            </w:r>
          </w:p>
        </w:tc>
      </w:tr>
      <w:tr w:rsidR="00653F41" w:rsidRPr="004D120A" w14:paraId="0D2C8078" w14:textId="77777777" w:rsidTr="61029005">
        <w:tc>
          <w:tcPr>
            <w:tcW w:w="10350" w:type="dxa"/>
            <w:tcBorders>
              <w:bottom w:val="single" w:sz="12" w:space="0" w:color="auto"/>
            </w:tcBorders>
            <w:shd w:val="clear" w:color="auto" w:fill="auto"/>
            <w:vAlign w:val="center"/>
            <w:hideMark/>
          </w:tcPr>
          <w:p w14:paraId="632F9E0D" w14:textId="74E19B95" w:rsidR="00376912" w:rsidRPr="004D120A" w:rsidRDefault="00376912" w:rsidP="002E029C">
            <w:pPr>
              <w:widowControl w:val="0"/>
              <w:spacing w:after="0" w:line="240" w:lineRule="auto"/>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 xml:space="preserve">E13: When data are collected at the point of </w:t>
            </w:r>
            <w:r w:rsidR="000673C9">
              <w:rPr>
                <w:rFonts w:asciiTheme="majorHAnsi" w:eastAsia="Times New Roman" w:hAnsiTheme="majorHAnsi" w:cstheme="majorBidi"/>
                <w:i/>
                <w:iCs/>
                <w:color w:val="4472C4" w:themeColor="accent1"/>
              </w:rPr>
              <w:t>healthcare</w:t>
            </w:r>
            <w:r w:rsidRPr="004D120A">
              <w:rPr>
                <w:rFonts w:asciiTheme="majorHAnsi" w:eastAsia="Times New Roman" w:hAnsiTheme="majorHAnsi" w:cstheme="majorBidi"/>
                <w:i/>
                <w:iCs/>
                <w:color w:val="4472C4" w:themeColor="accent1"/>
              </w:rPr>
              <w:t xml:space="preserve"> service delivery, communications address and mitigate the risk that patients (who are often in a vulnerable state) feel pressured to provide consent or agree to data access. </w:t>
            </w:r>
          </w:p>
        </w:tc>
        <w:tc>
          <w:tcPr>
            <w:tcW w:w="1878" w:type="dxa"/>
            <w:tcBorders>
              <w:bottom w:val="single" w:sz="12" w:space="0" w:color="auto"/>
            </w:tcBorders>
          </w:tcPr>
          <w:p w14:paraId="34CF3B8E"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081251" w:rsidRPr="00081251" w14:paraId="52CA6FBC" w14:textId="77777777" w:rsidTr="00081251">
        <w:tc>
          <w:tcPr>
            <w:tcW w:w="10350" w:type="dxa"/>
            <w:tcBorders>
              <w:top w:val="single" w:sz="12" w:space="0" w:color="auto"/>
            </w:tcBorders>
            <w:shd w:val="clear" w:color="auto" w:fill="DBDBDB" w:themeFill="accent3" w:themeFillTint="66"/>
            <w:vAlign w:val="center"/>
          </w:tcPr>
          <w:p w14:paraId="7CCF4786" w14:textId="61D9994F" w:rsidR="61485A0E" w:rsidRPr="00081251" w:rsidRDefault="61485A0E" w:rsidP="5EB9167C">
            <w:pPr>
              <w:widowControl w:val="0"/>
              <w:spacing w:line="240" w:lineRule="auto"/>
              <w:rPr>
                <w:rFonts w:ascii="Cambria" w:eastAsia="Times New Roman" w:hAnsi="Cambria" w:cs="Calibri"/>
                <w:b/>
              </w:rPr>
            </w:pPr>
            <w:r w:rsidRPr="00081251">
              <w:rPr>
                <w:rFonts w:ascii="Cambria" w:eastAsia="Times New Roman" w:hAnsi="Cambria" w:cs="Calibri"/>
                <w:b/>
              </w:rPr>
              <w:t>F: Privacy and Security</w:t>
            </w:r>
          </w:p>
        </w:tc>
        <w:tc>
          <w:tcPr>
            <w:tcW w:w="1878" w:type="dxa"/>
            <w:tcBorders>
              <w:top w:val="single" w:sz="12" w:space="0" w:color="auto"/>
            </w:tcBorders>
            <w:shd w:val="clear" w:color="auto" w:fill="DBDBDB" w:themeFill="accent3" w:themeFillTint="66"/>
          </w:tcPr>
          <w:p w14:paraId="7F00EA6C" w14:textId="018F6AB3" w:rsidR="5EB9167C" w:rsidRPr="00081251" w:rsidRDefault="5EB9167C" w:rsidP="5EB9167C">
            <w:pPr>
              <w:spacing w:line="240" w:lineRule="auto"/>
              <w:jc w:val="center"/>
              <w:rPr>
                <w:rFonts w:asciiTheme="majorHAnsi" w:eastAsia="Times New Roman" w:hAnsiTheme="majorHAnsi" w:cstheme="majorBidi"/>
                <w:b/>
                <w:i/>
                <w:iCs/>
              </w:rPr>
            </w:pPr>
          </w:p>
        </w:tc>
      </w:tr>
      <w:tr w:rsidR="00653F41" w:rsidRPr="004D120A" w14:paraId="5A548761" w14:textId="77777777" w:rsidTr="61029005">
        <w:tc>
          <w:tcPr>
            <w:tcW w:w="10350" w:type="dxa"/>
            <w:tcBorders>
              <w:top w:val="single" w:sz="12" w:space="0" w:color="auto"/>
            </w:tcBorders>
            <w:vAlign w:val="center"/>
          </w:tcPr>
          <w:p w14:paraId="74233887"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F1: All organizations (not just commercial organizations) are held to a higher standard when they use or provide access to data for purposes that do not have an obvious and direct public benefit (e.g., surveillance). </w:t>
            </w:r>
          </w:p>
        </w:tc>
        <w:tc>
          <w:tcPr>
            <w:tcW w:w="1878" w:type="dxa"/>
            <w:tcBorders>
              <w:top w:val="single" w:sz="12" w:space="0" w:color="auto"/>
            </w:tcBorders>
          </w:tcPr>
          <w:p w14:paraId="063C8204"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2E282517" w14:textId="77777777" w:rsidTr="61029005">
        <w:tc>
          <w:tcPr>
            <w:tcW w:w="10350" w:type="dxa"/>
            <w:vAlign w:val="center"/>
            <w:hideMark/>
          </w:tcPr>
          <w:p w14:paraId="1108AF17"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F2: Cybersecurity and other safeguards are in place to protect all health data, including de-identified data and anonymized data. </w:t>
            </w:r>
          </w:p>
        </w:tc>
        <w:tc>
          <w:tcPr>
            <w:tcW w:w="1878" w:type="dxa"/>
          </w:tcPr>
          <w:p w14:paraId="1531AF8B"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6</w:t>
            </w:r>
          </w:p>
        </w:tc>
      </w:tr>
      <w:tr w:rsidR="00653F41" w:rsidRPr="004D120A" w14:paraId="245E15CD" w14:textId="77777777" w:rsidTr="61029005">
        <w:tc>
          <w:tcPr>
            <w:tcW w:w="10350" w:type="dxa"/>
            <w:vAlign w:val="center"/>
          </w:tcPr>
          <w:p w14:paraId="5324669E"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F3: Cybersecurity and other safeguards are in place to protect anonymized health data collected for planning or research purposes. </w:t>
            </w:r>
          </w:p>
        </w:tc>
        <w:tc>
          <w:tcPr>
            <w:tcW w:w="1878" w:type="dxa"/>
          </w:tcPr>
          <w:p w14:paraId="368195D6"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2C9401BB" w14:textId="77777777" w:rsidTr="61029005">
        <w:tc>
          <w:tcPr>
            <w:tcW w:w="10350" w:type="dxa"/>
            <w:vAlign w:val="center"/>
          </w:tcPr>
          <w:p w14:paraId="1AF64F6B"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F4: Cybersecurity and other safeguards are in place to protect health data that is collected for individual care. </w:t>
            </w:r>
          </w:p>
        </w:tc>
        <w:tc>
          <w:tcPr>
            <w:tcW w:w="1878" w:type="dxa"/>
          </w:tcPr>
          <w:p w14:paraId="76516B73"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4DD66FAB" w14:textId="77777777" w:rsidTr="61029005">
        <w:tc>
          <w:tcPr>
            <w:tcW w:w="10350" w:type="dxa"/>
            <w:vAlign w:val="center"/>
          </w:tcPr>
          <w:p w14:paraId="0BA2658A"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F5: Data cannot be transferred or made accessible to a third party and cannot be used for purposes other than those for which they were granted. Any breach of the rules exposes the parties to legal action.</w:t>
            </w:r>
          </w:p>
        </w:tc>
        <w:tc>
          <w:tcPr>
            <w:tcW w:w="1878" w:type="dxa"/>
          </w:tcPr>
          <w:p w14:paraId="701E19F3"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380B5C55" w14:textId="77777777" w:rsidTr="61029005">
        <w:tc>
          <w:tcPr>
            <w:tcW w:w="10350" w:type="dxa"/>
            <w:vAlign w:val="center"/>
          </w:tcPr>
          <w:p w14:paraId="6F182C84"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F6: Data that include a name and other identifying information are routinely shared with authorized individuals involved in the care of the named person. </w:t>
            </w:r>
          </w:p>
        </w:tc>
        <w:tc>
          <w:tcPr>
            <w:tcW w:w="1878" w:type="dxa"/>
          </w:tcPr>
          <w:p w14:paraId="0D70B639"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7</w:t>
            </w:r>
          </w:p>
        </w:tc>
      </w:tr>
      <w:tr w:rsidR="00653F41" w:rsidRPr="004D120A" w14:paraId="065328D0" w14:textId="77777777" w:rsidTr="61029005">
        <w:tc>
          <w:tcPr>
            <w:tcW w:w="10350" w:type="dxa"/>
            <w:vAlign w:val="center"/>
          </w:tcPr>
          <w:p w14:paraId="486C748F" w14:textId="77777777" w:rsidR="00376912" w:rsidRPr="004D120A" w:rsidRDefault="00376912" w:rsidP="002E029C">
            <w:pPr>
              <w:widowControl w:val="0"/>
              <w:spacing w:after="0" w:line="240" w:lineRule="auto"/>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 xml:space="preserve">F7: Explicit consent by the individuals contributing health data must be given in cases where identifiable health data will be used. </w:t>
            </w:r>
          </w:p>
        </w:tc>
        <w:tc>
          <w:tcPr>
            <w:tcW w:w="1878" w:type="dxa"/>
          </w:tcPr>
          <w:p w14:paraId="03C060ED"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653F41" w:rsidRPr="004D120A" w14:paraId="31083194" w14:textId="77777777" w:rsidTr="61029005">
        <w:tc>
          <w:tcPr>
            <w:tcW w:w="10350" w:type="dxa"/>
            <w:vAlign w:val="center"/>
          </w:tcPr>
          <w:p w14:paraId="2E69B925" w14:textId="77777777" w:rsidR="00376912" w:rsidRPr="004D120A" w:rsidRDefault="00376912" w:rsidP="002E029C">
            <w:pPr>
              <w:widowControl w:val="0"/>
              <w:spacing w:after="0" w:line="240" w:lineRule="auto"/>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 xml:space="preserve">F8: Identifiable data is made available for specific research purposes and with the consent of the individual. </w:t>
            </w:r>
          </w:p>
        </w:tc>
        <w:tc>
          <w:tcPr>
            <w:tcW w:w="1878" w:type="dxa"/>
          </w:tcPr>
          <w:p w14:paraId="28F0981C"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653F41" w:rsidRPr="004D120A" w14:paraId="66C2155F" w14:textId="77777777" w:rsidTr="61029005">
        <w:tc>
          <w:tcPr>
            <w:tcW w:w="10350" w:type="dxa"/>
            <w:vAlign w:val="center"/>
          </w:tcPr>
          <w:p w14:paraId="451B6920" w14:textId="77777777" w:rsidR="00376912" w:rsidRPr="004D120A" w:rsidRDefault="00376912" w:rsidP="002E029C">
            <w:pPr>
              <w:widowControl w:val="0"/>
              <w:spacing w:after="0" w:line="240" w:lineRule="auto"/>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 xml:space="preserve">F9: If consent from participating individuals is obtained, health data can be transferred or made accessible to third parties. </w:t>
            </w:r>
          </w:p>
        </w:tc>
        <w:tc>
          <w:tcPr>
            <w:tcW w:w="1878" w:type="dxa"/>
          </w:tcPr>
          <w:p w14:paraId="479CD5C7"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5666400B" w14:textId="77777777" w:rsidTr="61029005">
        <w:tc>
          <w:tcPr>
            <w:tcW w:w="10350" w:type="dxa"/>
            <w:vAlign w:val="center"/>
            <w:hideMark/>
          </w:tcPr>
          <w:p w14:paraId="2082768B"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F10: In certain circumstances (e.g., when data are no longer needed for the purpose for which they were collected) health data are erased or deleted if a data subject requests (“the right to be forgotten”). </w:t>
            </w:r>
          </w:p>
        </w:tc>
        <w:tc>
          <w:tcPr>
            <w:tcW w:w="1878" w:type="dxa"/>
          </w:tcPr>
          <w:p w14:paraId="480A839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6FE67491" w14:textId="77777777" w:rsidTr="61029005">
        <w:tc>
          <w:tcPr>
            <w:tcW w:w="10350" w:type="dxa"/>
            <w:vAlign w:val="center"/>
          </w:tcPr>
          <w:p w14:paraId="2D06818F"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F11: Only data that have been truly anonymized (e.g., data that exclude names and other identifying information about individuals and communities) can be shared. </w:t>
            </w:r>
          </w:p>
        </w:tc>
        <w:tc>
          <w:tcPr>
            <w:tcW w:w="1878" w:type="dxa"/>
          </w:tcPr>
          <w:p w14:paraId="6DA50CBC"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653F41" w:rsidRPr="004D120A" w14:paraId="1AEB1103" w14:textId="77777777" w:rsidTr="61029005">
        <w:tc>
          <w:tcPr>
            <w:tcW w:w="10350" w:type="dxa"/>
            <w:vAlign w:val="center"/>
          </w:tcPr>
          <w:p w14:paraId="26F51268"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F12: People are notified immediately of breaches that involve their data. </w:t>
            </w:r>
          </w:p>
        </w:tc>
        <w:tc>
          <w:tcPr>
            <w:tcW w:w="1878" w:type="dxa"/>
          </w:tcPr>
          <w:p w14:paraId="22CFDA01"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03B686B1" w14:textId="77777777" w:rsidTr="61029005">
        <w:tc>
          <w:tcPr>
            <w:tcW w:w="10350" w:type="dxa"/>
            <w:vAlign w:val="center"/>
          </w:tcPr>
          <w:p w14:paraId="41821E23"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F13: The default practice is to remove the names of individuals and other identifying information about individuals </w:t>
            </w:r>
            <w:r w:rsidRPr="004D120A">
              <w:rPr>
                <w:rFonts w:asciiTheme="majorHAnsi" w:eastAsia="Times New Roman" w:hAnsiTheme="majorHAnsi" w:cstheme="majorBidi"/>
                <w:i/>
                <w:iCs/>
                <w:color w:val="4F81BD"/>
              </w:rPr>
              <w:lastRenderedPageBreak/>
              <w:t xml:space="preserve">and communities from health datasets that are shared for research or planning purposes. </w:t>
            </w:r>
          </w:p>
        </w:tc>
        <w:tc>
          <w:tcPr>
            <w:tcW w:w="1878" w:type="dxa"/>
          </w:tcPr>
          <w:p w14:paraId="37CB0CCB"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lastRenderedPageBreak/>
              <w:t>7</w:t>
            </w:r>
          </w:p>
        </w:tc>
      </w:tr>
      <w:tr w:rsidR="00653F41" w:rsidRPr="004D120A" w14:paraId="65A38EC3" w14:textId="77777777" w:rsidTr="61029005">
        <w:tc>
          <w:tcPr>
            <w:tcW w:w="10350" w:type="dxa"/>
            <w:vAlign w:val="center"/>
            <w:hideMark/>
          </w:tcPr>
          <w:p w14:paraId="6DB0AAE6"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 xml:space="preserve">F14: The number of people who have access to identifying information is kept to a minimum. </w:t>
            </w:r>
          </w:p>
        </w:tc>
        <w:tc>
          <w:tcPr>
            <w:tcW w:w="1878" w:type="dxa"/>
          </w:tcPr>
          <w:p w14:paraId="2D991ABD"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3</w:t>
            </w:r>
          </w:p>
        </w:tc>
      </w:tr>
      <w:tr w:rsidR="00653F41" w:rsidRPr="004D120A" w14:paraId="0FBD89B6" w14:textId="77777777" w:rsidTr="61029005">
        <w:tc>
          <w:tcPr>
            <w:tcW w:w="10350" w:type="dxa"/>
            <w:vAlign w:val="center"/>
            <w:hideMark/>
          </w:tcPr>
          <w:p w14:paraId="3B0DA256"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F15: The privacy of people who contribute health data is protected. </w:t>
            </w:r>
          </w:p>
        </w:tc>
        <w:tc>
          <w:tcPr>
            <w:tcW w:w="1878" w:type="dxa"/>
          </w:tcPr>
          <w:p w14:paraId="15198986"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5</w:t>
            </w:r>
          </w:p>
        </w:tc>
      </w:tr>
      <w:tr w:rsidR="00653F41" w:rsidRPr="004D120A" w14:paraId="05FBD154" w14:textId="77777777" w:rsidTr="61029005">
        <w:tc>
          <w:tcPr>
            <w:tcW w:w="10350" w:type="dxa"/>
            <w:vAlign w:val="center"/>
            <w:hideMark/>
          </w:tcPr>
          <w:p w14:paraId="6B0FE24F"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F16: There are additional safeguards, conditions, and protections when genetic data are used, shared, or re-used. </w:t>
            </w:r>
          </w:p>
        </w:tc>
        <w:tc>
          <w:tcPr>
            <w:tcW w:w="1878" w:type="dxa"/>
          </w:tcPr>
          <w:p w14:paraId="5B69D421"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1</w:t>
            </w:r>
          </w:p>
        </w:tc>
      </w:tr>
      <w:tr w:rsidR="00653F41" w:rsidRPr="004D120A" w14:paraId="1C981A29" w14:textId="77777777" w:rsidTr="61029005">
        <w:tc>
          <w:tcPr>
            <w:tcW w:w="10350" w:type="dxa"/>
            <w:vAlign w:val="center"/>
          </w:tcPr>
          <w:p w14:paraId="41A68424"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F17: There are auditing and consequences for non-compliance (e.g., absence of safeguards required by regulation or by an organization's own policies). </w:t>
            </w:r>
          </w:p>
        </w:tc>
        <w:tc>
          <w:tcPr>
            <w:tcW w:w="1878" w:type="dxa"/>
          </w:tcPr>
          <w:p w14:paraId="2C282ECC"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653F41" w:rsidRPr="004D120A" w14:paraId="7CB94CB5" w14:textId="77777777" w:rsidTr="61029005">
        <w:tc>
          <w:tcPr>
            <w:tcW w:w="10350" w:type="dxa"/>
            <w:vAlign w:val="center"/>
          </w:tcPr>
          <w:p w14:paraId="61099709" w14:textId="77777777" w:rsidR="00376912" w:rsidRPr="004D120A" w:rsidRDefault="00376912" w:rsidP="002E029C">
            <w:pPr>
              <w:widowControl w:val="0"/>
              <w:spacing w:after="0" w:line="240" w:lineRule="auto"/>
              <w:rPr>
                <w:rFonts w:asciiTheme="majorHAnsi" w:eastAsia="Times New Roman" w:hAnsiTheme="majorHAnsi" w:cstheme="majorBidi"/>
                <w:i/>
                <w:iCs/>
                <w:color w:val="000000"/>
              </w:rPr>
            </w:pPr>
            <w:r w:rsidRPr="004D120A">
              <w:rPr>
                <w:rFonts w:asciiTheme="majorHAnsi" w:eastAsia="Times New Roman" w:hAnsiTheme="majorHAnsi" w:cstheme="majorBidi"/>
                <w:i/>
                <w:iCs/>
                <w:color w:val="4472C4" w:themeColor="accent1"/>
              </w:rPr>
              <w:t xml:space="preserve">F18: There are defined roles and accountabilities for all people involved in collecting, processing, using, sharing or re-using data. </w:t>
            </w:r>
          </w:p>
        </w:tc>
        <w:tc>
          <w:tcPr>
            <w:tcW w:w="1878" w:type="dxa"/>
          </w:tcPr>
          <w:p w14:paraId="47F42842"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6</w:t>
            </w:r>
          </w:p>
        </w:tc>
      </w:tr>
      <w:tr w:rsidR="00653F41" w:rsidRPr="004D120A" w14:paraId="77AA7EEC" w14:textId="77777777" w:rsidTr="61029005">
        <w:tc>
          <w:tcPr>
            <w:tcW w:w="10350" w:type="dxa"/>
            <w:vAlign w:val="center"/>
            <w:hideMark/>
          </w:tcPr>
          <w:p w14:paraId="5914B910" w14:textId="77777777" w:rsidR="00376912" w:rsidRPr="004D120A" w:rsidRDefault="00376912" w:rsidP="002E029C">
            <w:pPr>
              <w:widowControl w:val="0"/>
              <w:spacing w:after="0" w:line="240" w:lineRule="auto"/>
              <w:rPr>
                <w:rFonts w:ascii="Cambria" w:eastAsia="Times New Roman" w:hAnsi="Cambria" w:cs="Calibri"/>
                <w:color w:val="000000"/>
              </w:rPr>
            </w:pPr>
            <w:r w:rsidRPr="004D120A">
              <w:rPr>
                <w:rFonts w:ascii="Cambria" w:eastAsia="Times New Roman" w:hAnsi="Cambria" w:cs="Calibri"/>
                <w:color w:val="000000" w:themeColor="text1"/>
              </w:rPr>
              <w:t>F19: There are safeguards to prevent re-identification. </w:t>
            </w:r>
          </w:p>
        </w:tc>
        <w:tc>
          <w:tcPr>
            <w:tcW w:w="1878" w:type="dxa"/>
          </w:tcPr>
          <w:p w14:paraId="0B0C7328" w14:textId="77777777" w:rsidR="00376912" w:rsidRPr="004D120A" w:rsidRDefault="00376912" w:rsidP="002E029C">
            <w:pPr>
              <w:widowControl w:val="0"/>
              <w:spacing w:after="0" w:line="240" w:lineRule="auto"/>
              <w:jc w:val="center"/>
              <w:rPr>
                <w:rFonts w:ascii="Cambria" w:eastAsia="Times New Roman" w:hAnsi="Cambria" w:cs="Calibri"/>
                <w:color w:val="000000" w:themeColor="text1"/>
              </w:rPr>
            </w:pPr>
            <w:r w:rsidRPr="004D120A">
              <w:rPr>
                <w:rFonts w:ascii="Cambria" w:eastAsia="Times New Roman" w:hAnsi="Cambria" w:cs="Calibri"/>
                <w:color w:val="000000" w:themeColor="text1"/>
              </w:rPr>
              <w:t>2</w:t>
            </w:r>
          </w:p>
        </w:tc>
      </w:tr>
      <w:tr w:rsidR="00653F41" w:rsidRPr="004D120A" w14:paraId="3459C760" w14:textId="77777777" w:rsidTr="61029005">
        <w:tc>
          <w:tcPr>
            <w:tcW w:w="10350" w:type="dxa"/>
            <w:vAlign w:val="center"/>
            <w:hideMark/>
          </w:tcPr>
          <w:p w14:paraId="003CB6E3"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F20: There is a cybersecurity recovery plan in place so that records can be restored after a cybersecurity attack in a timely manner. </w:t>
            </w:r>
          </w:p>
        </w:tc>
        <w:tc>
          <w:tcPr>
            <w:tcW w:w="1878" w:type="dxa"/>
          </w:tcPr>
          <w:p w14:paraId="3440C888"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3</w:t>
            </w:r>
          </w:p>
        </w:tc>
      </w:tr>
      <w:tr w:rsidR="00653F41" w:rsidRPr="004D120A" w14:paraId="4F0B3FAB" w14:textId="77777777" w:rsidTr="61029005">
        <w:tc>
          <w:tcPr>
            <w:tcW w:w="10350" w:type="dxa"/>
            <w:tcBorders>
              <w:bottom w:val="single" w:sz="12" w:space="0" w:color="auto"/>
            </w:tcBorders>
            <w:vAlign w:val="center"/>
            <w:hideMark/>
          </w:tcPr>
          <w:p w14:paraId="5804842E"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 xml:space="preserve">F21: There is an accurate record of who accesses health data established based on individual login activities. </w:t>
            </w:r>
          </w:p>
        </w:tc>
        <w:tc>
          <w:tcPr>
            <w:tcW w:w="1878" w:type="dxa"/>
            <w:tcBorders>
              <w:bottom w:val="single" w:sz="12" w:space="0" w:color="auto"/>
            </w:tcBorders>
          </w:tcPr>
          <w:p w14:paraId="404FC37C"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5EB9167C" w14:paraId="4F8F3C04" w14:textId="77777777" w:rsidTr="00081251">
        <w:tc>
          <w:tcPr>
            <w:tcW w:w="10350" w:type="dxa"/>
            <w:tcBorders>
              <w:top w:val="single" w:sz="12" w:space="0" w:color="auto"/>
            </w:tcBorders>
            <w:shd w:val="clear" w:color="auto" w:fill="DBDBDB" w:themeFill="accent3" w:themeFillTint="66"/>
            <w:vAlign w:val="center"/>
          </w:tcPr>
          <w:p w14:paraId="57594005" w14:textId="0624D3AE" w:rsidR="065E53C2" w:rsidRPr="00081251" w:rsidRDefault="065E53C2" w:rsidP="5EB9167C">
            <w:pPr>
              <w:widowControl w:val="0"/>
              <w:spacing w:after="0" w:line="240" w:lineRule="auto"/>
              <w:rPr>
                <w:rFonts w:ascii="Cambria" w:eastAsia="Times New Roman" w:hAnsi="Cambria" w:cs="Calibri"/>
                <w:b/>
                <w:color w:val="FFFFFF" w:themeColor="background1"/>
              </w:rPr>
            </w:pPr>
            <w:r w:rsidRPr="00081251">
              <w:rPr>
                <w:rFonts w:ascii="Cambria" w:eastAsia="Times New Roman" w:hAnsi="Cambria" w:cs="Calibri"/>
                <w:b/>
              </w:rPr>
              <w:t xml:space="preserve">G: Transparency, </w:t>
            </w:r>
            <w:r w:rsidRPr="00081251">
              <w:rPr>
                <w:rFonts w:asciiTheme="majorHAnsi" w:eastAsia="Times New Roman" w:hAnsiTheme="majorHAnsi" w:cstheme="majorBidi"/>
                <w:b/>
                <w:i/>
                <w:iCs/>
                <w:color w:val="2F5496" w:themeColor="accent1" w:themeShade="BF"/>
              </w:rPr>
              <w:t>Communications and Data Literacy</w:t>
            </w:r>
          </w:p>
        </w:tc>
        <w:tc>
          <w:tcPr>
            <w:tcW w:w="1878" w:type="dxa"/>
            <w:tcBorders>
              <w:top w:val="single" w:sz="12" w:space="0" w:color="auto"/>
            </w:tcBorders>
            <w:shd w:val="clear" w:color="auto" w:fill="DBDBDB" w:themeFill="accent3" w:themeFillTint="66"/>
          </w:tcPr>
          <w:p w14:paraId="29595B36" w14:textId="0B98D1EA" w:rsidR="5EB9167C" w:rsidRDefault="5EB9167C" w:rsidP="5EB9167C">
            <w:pPr>
              <w:spacing w:line="240" w:lineRule="auto"/>
              <w:jc w:val="center"/>
              <w:rPr>
                <w:rFonts w:asciiTheme="majorHAnsi" w:eastAsia="Times New Roman" w:hAnsiTheme="majorHAnsi" w:cstheme="majorBidi"/>
                <w:i/>
                <w:iCs/>
                <w:color w:val="FFFFFF" w:themeColor="background1"/>
              </w:rPr>
            </w:pPr>
          </w:p>
        </w:tc>
      </w:tr>
      <w:tr w:rsidR="00653F41" w:rsidRPr="004D120A" w14:paraId="01669E24" w14:textId="77777777" w:rsidTr="61029005">
        <w:tc>
          <w:tcPr>
            <w:tcW w:w="10350" w:type="dxa"/>
            <w:tcBorders>
              <w:top w:val="single" w:sz="12" w:space="0" w:color="auto"/>
            </w:tcBorders>
            <w:vAlign w:val="center"/>
          </w:tcPr>
          <w:p w14:paraId="0ACFAE2F"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G1: Educational materials to increase data literacy are available in formats tailored to meet the needs of specific audiences from kindergarten to the general public.</w:t>
            </w:r>
          </w:p>
        </w:tc>
        <w:tc>
          <w:tcPr>
            <w:tcW w:w="1878" w:type="dxa"/>
            <w:tcBorders>
              <w:top w:val="single" w:sz="12" w:space="0" w:color="auto"/>
            </w:tcBorders>
          </w:tcPr>
          <w:p w14:paraId="5C59F05A"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3</w:t>
            </w:r>
          </w:p>
        </w:tc>
      </w:tr>
      <w:tr w:rsidR="00653F41" w:rsidRPr="004D120A" w14:paraId="1C6A10FF" w14:textId="77777777" w:rsidTr="61029005">
        <w:tc>
          <w:tcPr>
            <w:tcW w:w="10350" w:type="dxa"/>
            <w:vAlign w:val="center"/>
          </w:tcPr>
          <w:p w14:paraId="5E829F00"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G2: Health data, and communications about health data, are available in the official language of the patient's choice.</w:t>
            </w:r>
            <w:bookmarkStart w:id="5" w:name="_GoBack"/>
            <w:bookmarkEnd w:id="5"/>
          </w:p>
        </w:tc>
        <w:tc>
          <w:tcPr>
            <w:tcW w:w="1878" w:type="dxa"/>
          </w:tcPr>
          <w:p w14:paraId="541A9F9C"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6D16B795" w14:textId="77777777" w:rsidTr="61029005">
        <w:tc>
          <w:tcPr>
            <w:tcW w:w="10350" w:type="dxa"/>
            <w:vAlign w:val="center"/>
          </w:tcPr>
          <w:p w14:paraId="1876DB4E"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G3: Individuals involved in communicating personal health information to patients should do so in a clear and transparent manner.</w:t>
            </w:r>
          </w:p>
        </w:tc>
        <w:tc>
          <w:tcPr>
            <w:tcW w:w="1878" w:type="dxa"/>
          </w:tcPr>
          <w:p w14:paraId="22C7FBE1"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550AF307" w14:textId="77777777" w:rsidTr="61029005">
        <w:tc>
          <w:tcPr>
            <w:tcW w:w="10350" w:type="dxa"/>
            <w:vAlign w:val="center"/>
          </w:tcPr>
          <w:p w14:paraId="2A496259" w14:textId="7A95B31E" w:rsidR="00376912" w:rsidRPr="004D120A" w:rsidRDefault="00376912" w:rsidP="002E029C">
            <w:pPr>
              <w:widowControl w:val="0"/>
              <w:spacing w:after="0" w:line="240" w:lineRule="auto"/>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G4: Organizations involved in data collection, processing, use</w:t>
            </w:r>
            <w:r w:rsidR="002E0A75">
              <w:rPr>
                <w:rFonts w:asciiTheme="majorHAnsi" w:eastAsia="Times New Roman" w:hAnsiTheme="majorHAnsi" w:cstheme="majorBidi"/>
                <w:i/>
                <w:iCs/>
                <w:color w:val="4472C4" w:themeColor="accent1"/>
              </w:rPr>
              <w:t>,</w:t>
            </w:r>
            <w:r w:rsidRPr="004D120A">
              <w:rPr>
                <w:rFonts w:asciiTheme="majorHAnsi" w:eastAsia="Times New Roman" w:hAnsiTheme="majorHAnsi" w:cstheme="majorBidi"/>
                <w:i/>
                <w:iCs/>
                <w:color w:val="4472C4" w:themeColor="accent1"/>
              </w:rPr>
              <w:t xml:space="preserve"> or re-use are respectful, polite and welcoming when contacted by patients and members of the public.</w:t>
            </w:r>
          </w:p>
        </w:tc>
        <w:tc>
          <w:tcPr>
            <w:tcW w:w="1878" w:type="dxa"/>
          </w:tcPr>
          <w:p w14:paraId="5C4EC5E6"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1</w:t>
            </w:r>
          </w:p>
        </w:tc>
      </w:tr>
      <w:tr w:rsidR="00653F41" w:rsidRPr="004D120A" w14:paraId="25E88A13" w14:textId="77777777" w:rsidTr="61029005">
        <w:tc>
          <w:tcPr>
            <w:tcW w:w="10350" w:type="dxa"/>
            <w:vAlign w:val="center"/>
          </w:tcPr>
          <w:p w14:paraId="27EFB2E7" w14:textId="3E68B9F5"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Theme="majorHAnsi" w:eastAsia="Times New Roman" w:hAnsiTheme="majorHAnsi" w:cstheme="majorBidi"/>
                <w:i/>
                <w:iCs/>
                <w:color w:val="4F81BD"/>
              </w:rPr>
              <w:t>G5: There are different ways of communicating how health data are collected, used, shared</w:t>
            </w:r>
            <w:r w:rsidR="002E0A75">
              <w:rPr>
                <w:rFonts w:asciiTheme="majorHAnsi" w:eastAsia="Times New Roman" w:hAnsiTheme="majorHAnsi" w:cstheme="majorBidi"/>
                <w:i/>
                <w:iCs/>
                <w:color w:val="4F81BD"/>
              </w:rPr>
              <w:t>,</w:t>
            </w:r>
            <w:r w:rsidRPr="004D120A">
              <w:rPr>
                <w:rFonts w:asciiTheme="majorHAnsi" w:eastAsia="Times New Roman" w:hAnsiTheme="majorHAnsi" w:cstheme="majorBidi"/>
                <w:i/>
                <w:iCs/>
                <w:color w:val="4F81BD"/>
              </w:rPr>
              <w:t xml:space="preserve"> and re-used, and by whom, including communications tailored to “meet people where they are” and address the needs of people who have low levels of education and no prior knowledge of health data collection, use, sharing and re-use.</w:t>
            </w:r>
          </w:p>
        </w:tc>
        <w:tc>
          <w:tcPr>
            <w:tcW w:w="1878" w:type="dxa"/>
          </w:tcPr>
          <w:p w14:paraId="31AF1C97"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2</w:t>
            </w:r>
          </w:p>
        </w:tc>
      </w:tr>
      <w:tr w:rsidR="00653F41" w:rsidRPr="004D120A" w14:paraId="2994A510" w14:textId="77777777" w:rsidTr="61029005">
        <w:tc>
          <w:tcPr>
            <w:tcW w:w="10350" w:type="dxa"/>
            <w:vAlign w:val="center"/>
          </w:tcPr>
          <w:p w14:paraId="284CD666"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Cambria" w:eastAsia="Times New Roman" w:hAnsi="Cambria" w:cs="Calibri"/>
                <w:color w:val="000000" w:themeColor="text1"/>
              </w:rPr>
              <w:t>G6: There is a process for people to pose and get answers to their questions about how data are used, shared, or re-used by whom, and for what purposes.</w:t>
            </w:r>
          </w:p>
        </w:tc>
        <w:tc>
          <w:tcPr>
            <w:tcW w:w="1878" w:type="dxa"/>
          </w:tcPr>
          <w:p w14:paraId="26C9DF9F"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7</w:t>
            </w:r>
          </w:p>
        </w:tc>
      </w:tr>
      <w:tr w:rsidR="00653F41" w:rsidRPr="004D120A" w14:paraId="3944E39A" w14:textId="77777777" w:rsidTr="61029005">
        <w:tc>
          <w:tcPr>
            <w:tcW w:w="10350" w:type="dxa"/>
            <w:vAlign w:val="center"/>
          </w:tcPr>
          <w:p w14:paraId="307F34A1"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Cambria" w:eastAsia="Times New Roman" w:hAnsi="Cambria" w:cs="Calibri"/>
                <w:color w:val="000000" w:themeColor="text1"/>
              </w:rPr>
              <w:lastRenderedPageBreak/>
              <w:t>G7: There is transparent and plain language about when, how, why and with whom health data are used, shared, or re-used without the consent of the data subjects.</w:t>
            </w:r>
          </w:p>
        </w:tc>
        <w:tc>
          <w:tcPr>
            <w:tcW w:w="1878" w:type="dxa"/>
          </w:tcPr>
          <w:p w14:paraId="1B12BF62"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6</w:t>
            </w:r>
          </w:p>
        </w:tc>
      </w:tr>
      <w:tr w:rsidR="00653F41" w:rsidRPr="004D120A" w14:paraId="6D37888F" w14:textId="77777777" w:rsidTr="61029005">
        <w:tc>
          <w:tcPr>
            <w:tcW w:w="10350" w:type="dxa"/>
            <w:vAlign w:val="center"/>
          </w:tcPr>
          <w:p w14:paraId="785BCF7F" w14:textId="77777777" w:rsidR="00376912" w:rsidRPr="004D120A" w:rsidRDefault="00376912" w:rsidP="002E029C">
            <w:pPr>
              <w:widowControl w:val="0"/>
              <w:spacing w:after="0" w:line="240" w:lineRule="auto"/>
              <w:rPr>
                <w:rFonts w:asciiTheme="majorHAnsi" w:eastAsia="Times New Roman" w:hAnsiTheme="majorHAnsi" w:cstheme="majorBidi"/>
                <w:i/>
                <w:iCs/>
                <w:color w:val="4F81BD"/>
              </w:rPr>
            </w:pPr>
            <w:r w:rsidRPr="004D120A">
              <w:rPr>
                <w:rFonts w:ascii="Cambria" w:eastAsia="Times New Roman" w:hAnsi="Cambria" w:cs="Calibri"/>
                <w:color w:val="000000" w:themeColor="text1"/>
              </w:rPr>
              <w:t xml:space="preserve">G8: There is transparent and plain language, </w:t>
            </w:r>
            <w:r w:rsidRPr="004D120A">
              <w:rPr>
                <w:rFonts w:asciiTheme="majorHAnsi" w:eastAsia="Times New Roman" w:hAnsiTheme="majorHAnsi" w:cstheme="majorBidi"/>
                <w:i/>
                <w:iCs/>
                <w:color w:val="4472C4" w:themeColor="accent1"/>
              </w:rPr>
              <w:t>including language that is understandable by the general public (e.g., 8th grade reading level)</w:t>
            </w:r>
            <w:r w:rsidRPr="004D120A">
              <w:rPr>
                <w:rFonts w:ascii="Cambria" w:eastAsia="Times New Roman" w:hAnsi="Cambria" w:cs="Calibri"/>
                <w:color w:val="000000" w:themeColor="text1"/>
              </w:rPr>
              <w:t xml:space="preserve"> about who has access to what data for what purposes</w:t>
            </w:r>
            <w:r w:rsidRPr="004D120A">
              <w:rPr>
                <w:rFonts w:asciiTheme="majorHAnsi" w:eastAsia="Times New Roman" w:hAnsiTheme="majorHAnsi" w:cstheme="majorBidi"/>
                <w:i/>
                <w:iCs/>
                <w:color w:val="4472C4" w:themeColor="accent1"/>
              </w:rPr>
              <w:t xml:space="preserve"> throughout the entire data lifecycle (from data collection to dissemination of findings).</w:t>
            </w:r>
          </w:p>
        </w:tc>
        <w:tc>
          <w:tcPr>
            <w:tcW w:w="1878" w:type="dxa"/>
          </w:tcPr>
          <w:p w14:paraId="753429E1" w14:textId="77777777" w:rsidR="00376912" w:rsidRPr="004D120A" w:rsidRDefault="00376912" w:rsidP="002E029C">
            <w:pPr>
              <w:widowControl w:val="0"/>
              <w:spacing w:after="0" w:line="240" w:lineRule="auto"/>
              <w:jc w:val="center"/>
              <w:rPr>
                <w:rFonts w:asciiTheme="majorHAnsi" w:eastAsia="Times New Roman" w:hAnsiTheme="majorHAnsi" w:cstheme="majorBidi"/>
                <w:i/>
                <w:iCs/>
                <w:color w:val="4472C4" w:themeColor="accent1"/>
              </w:rPr>
            </w:pPr>
            <w:r w:rsidRPr="004D120A">
              <w:rPr>
                <w:rFonts w:asciiTheme="majorHAnsi" w:eastAsia="Times New Roman" w:hAnsiTheme="majorHAnsi" w:cstheme="majorBidi"/>
                <w:i/>
                <w:iCs/>
                <w:color w:val="4472C4" w:themeColor="accent1"/>
              </w:rPr>
              <w:t>8</w:t>
            </w:r>
          </w:p>
        </w:tc>
      </w:tr>
    </w:tbl>
    <w:p w14:paraId="5A1EF442" w14:textId="4202315C" w:rsidR="00376912" w:rsidRPr="008F5EAD" w:rsidRDefault="00376912" w:rsidP="00306E77">
      <w:pPr>
        <w:pStyle w:val="ListParagraph"/>
        <w:ind w:left="1440"/>
        <w:rPr>
          <w:sz w:val="24"/>
          <w:szCs w:val="24"/>
        </w:rPr>
      </w:pPr>
      <w:r>
        <w:rPr>
          <w:sz w:val="24"/>
          <w:szCs w:val="24"/>
        </w:rPr>
        <w:t xml:space="preserve"> </w:t>
      </w:r>
    </w:p>
    <w:sectPr w:rsidR="00376912" w:rsidRPr="008F5EAD" w:rsidSect="000D64A1">
      <w:headerReference w:type="even" r:id="rId8"/>
      <w:headerReference w:type="default" r:id="rId9"/>
      <w:footerReference w:type="even" r:id="rId10"/>
      <w:footerReference w:type="default" r:id="rId11"/>
      <w:headerReference w:type="first" r:id="rId12"/>
      <w:footerReference w:type="first" r:id="rId13"/>
      <w:footnotePr>
        <w:numFmt w:val="chicago"/>
      </w:footnotePr>
      <w:pgSz w:w="15840" w:h="12240" w:orient="landscape"/>
      <w:pgMar w:top="1440" w:right="1440" w:bottom="1440" w:left="1440"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9806C" w16cex:dateUtc="2022-09-12T13:54:00Z"/>
  <w16cex:commentExtensible w16cex:durableId="26C9ABC2" w16cex:dateUtc="2022-09-12T16:59:00Z"/>
  <w16cex:commentExtensible w16cex:durableId="26C97F41" w16cex:dateUtc="2022-09-12T13:49:00Z"/>
  <w16cex:commentExtensible w16cex:durableId="26C9BB32" w16cex:dateUtc="2022-09-12T18:05:00Z"/>
  <w16cex:commentExtensible w16cex:durableId="26C97E3C" w16cex:dateUtc="2022-09-12T13:45:00Z"/>
  <w16cex:commentExtensible w16cex:durableId="26C97C42" w16cex:dateUtc="2022-09-12T13:37:00Z"/>
  <w16cex:commentExtensible w16cex:durableId="26C97D9A" w16cex:dateUtc="2022-09-12T13:42:00Z"/>
  <w16cex:commentExtensible w16cex:durableId="26C6E8E3" w16cex:dateUtc="2022-09-10T14:43:00Z"/>
  <w16cex:commentExtensible w16cex:durableId="26C9AD0A" w16cex:dateUtc="2022-09-12T17:05:00Z"/>
  <w16cex:commentExtensible w16cex:durableId="26CA9E20" w16cex:dateUtc="2022-09-13T10:13:00Z"/>
  <w16cex:commentExtensible w16cex:durableId="26C97EA9" w16cex:dateUtc="2022-09-12T13:47:00Z"/>
  <w16cex:commentExtensible w16cex:durableId="26C9B0AE" w16cex:dateUtc="2022-09-12T17:20:00Z"/>
  <w16cex:commentExtensible w16cex:durableId="26CA9E41" w16cex:dateUtc="2022-09-13T10:14:00Z"/>
  <w16cex:commentExtensible w16cex:durableId="26C97D49" w16cex:dateUtc="2022-09-12T13:41:00Z"/>
  <w16cex:commentExtensible w16cex:durableId="26C97D07" w16cex:dateUtc="2022-09-12T13:40:00Z"/>
  <w16cex:commentExtensible w16cex:durableId="26C98044" w16cex:dateUtc="2022-09-12T13:54:00Z"/>
  <w16cex:commentExtensible w16cex:durableId="26C6F7C8" w16cex:dateUtc="2022-09-10T15:47:00Z"/>
  <w16cex:commentExtensible w16cex:durableId="26C97DAF" w16cex:dateUtc="2022-09-12T13:43:00Z"/>
  <w16cex:commentExtensible w16cex:durableId="6ED37775" w16cex:dateUtc="2022-11-17T04:45:16.694Z"/>
</w16cex:commentsExtensible>
</file>

<file path=word/commentsIds.xml><?xml version="1.0" encoding="utf-8"?>
<w16cid:commentsIds xmlns:mc="http://schemas.openxmlformats.org/markup-compatibility/2006" xmlns:w16cid="http://schemas.microsoft.com/office/word/2016/wordml/cid" mc:Ignorable="w16cid">
  <w16cid:commentId w16cid:paraId="06B1F4EE" w16cid:durableId="26C9806C"/>
  <w16cid:commentId w16cid:paraId="3100E657" w16cid:durableId="26C9ABC2"/>
  <w16cid:commentId w16cid:paraId="5182F03E" w16cid:durableId="26C97F41"/>
  <w16cid:commentId w16cid:paraId="55B88F40" w16cid:durableId="26C9BB32"/>
  <w16cid:commentId w16cid:paraId="6D89D7E1" w16cid:durableId="26C97E3C"/>
  <w16cid:commentId w16cid:paraId="29C1C13F" w16cid:durableId="26C97C42"/>
  <w16cid:commentId w16cid:paraId="34BB0A6D" w16cid:durableId="26C97D9A"/>
  <w16cid:commentId w16cid:paraId="1264E3E6" w16cid:durableId="26C6E8E3"/>
  <w16cid:commentId w16cid:paraId="438F4793" w16cid:durableId="26C9AD0A"/>
  <w16cid:commentId w16cid:paraId="1B986103" w16cid:durableId="26CA9E20"/>
  <w16cid:commentId w16cid:paraId="24AE3DBB" w16cid:durableId="26C97EA9"/>
  <w16cid:commentId w16cid:paraId="6EA7031D" w16cid:durableId="26C9B0AE"/>
  <w16cid:commentId w16cid:paraId="5B29A3E2" w16cid:durableId="26CA9E41"/>
  <w16cid:commentId w16cid:paraId="0DFFFAAA" w16cid:durableId="26C97D49"/>
  <w16cid:commentId w16cid:paraId="66F5E90F" w16cid:durableId="26C97D07"/>
  <w16cid:commentId w16cid:paraId="3DDC7090" w16cid:durableId="26C98044"/>
  <w16cid:commentId w16cid:paraId="67DD93E8" w16cid:durableId="26C6F7C8"/>
  <w16cid:commentId w16cid:paraId="2544CA9A" w16cid:durableId="26C97DAF"/>
  <w16cid:commentId w16cid:paraId="4559FE00" w16cid:durableId="6ED377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52158" w14:textId="77777777" w:rsidR="007E0894" w:rsidRDefault="007E0894" w:rsidP="005C090A">
      <w:pPr>
        <w:spacing w:after="0" w:line="240" w:lineRule="auto"/>
      </w:pPr>
      <w:r>
        <w:separator/>
      </w:r>
    </w:p>
  </w:endnote>
  <w:endnote w:type="continuationSeparator" w:id="0">
    <w:p w14:paraId="7216DF9F" w14:textId="77777777" w:rsidR="007E0894" w:rsidRDefault="007E0894" w:rsidP="005C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8070" w14:textId="77777777" w:rsidR="00C60187" w:rsidRDefault="00C60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778F" w14:textId="3D5F6113" w:rsidR="00497381" w:rsidRDefault="00497381" w:rsidP="00653F41">
    <w:pPr>
      <w:pStyle w:val="Footer"/>
      <w:jc w:val="right"/>
    </w:pPr>
    <w:r>
      <w:t xml:space="preserve">Appendix </w:t>
    </w:r>
    <w:r w:rsidR="000D64A1">
      <w:t>C</w:t>
    </w:r>
    <w:r>
      <w:t xml:space="preserve"> page </w:t>
    </w:r>
    <w:sdt>
      <w:sdtPr>
        <w:id w:val="15769401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1251">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FD53" w14:textId="77777777" w:rsidR="00C60187" w:rsidRDefault="00C6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81E9F" w14:textId="77777777" w:rsidR="007E0894" w:rsidRDefault="007E0894" w:rsidP="005C090A">
      <w:pPr>
        <w:spacing w:after="0" w:line="240" w:lineRule="auto"/>
      </w:pPr>
      <w:r>
        <w:separator/>
      </w:r>
    </w:p>
  </w:footnote>
  <w:footnote w:type="continuationSeparator" w:id="0">
    <w:p w14:paraId="43CA9853" w14:textId="77777777" w:rsidR="007E0894" w:rsidRDefault="007E0894" w:rsidP="005C090A">
      <w:pPr>
        <w:spacing w:after="0" w:line="240" w:lineRule="auto"/>
      </w:pPr>
      <w:r>
        <w:continuationSeparator/>
      </w:r>
    </w:p>
  </w:footnote>
  <w:footnote w:id="1">
    <w:p w14:paraId="486879BF" w14:textId="77777777" w:rsidR="00497381" w:rsidRDefault="00497381" w:rsidP="00376912">
      <w:pPr>
        <w:pStyle w:val="FootnoteText"/>
      </w:pPr>
      <w:r>
        <w:rPr>
          <w:rStyle w:val="FootnoteReference"/>
        </w:rPr>
        <w:footnoteRef/>
      </w:r>
      <w:r>
        <w:t xml:space="preserve"> </w:t>
      </w:r>
      <w:r w:rsidRPr="00DD6790">
        <w:rPr>
          <w:i/>
        </w:rPr>
        <w:t>In cases where a participant wanted an edit that would change the scope or meaning of a requirement that other participants had already selected in its original form, we created a second requirement rather than assume that the change would be agreed upon. As a result, there are four pairs of requirements that have similar wording (B1 and B2, D3 and D4, E6 and E7, F3 and F4).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9EF2" w14:textId="77777777" w:rsidR="00C60187" w:rsidRDefault="00C60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E4FA" w14:textId="69C62D7E" w:rsidR="000D64A1" w:rsidRDefault="000D64A1">
    <w:pPr>
      <w:pStyle w:val="Header"/>
    </w:pPr>
    <w:r w:rsidRPr="00C52D22">
      <w:rPr>
        <w:noProof/>
        <w:lang w:val="en-US"/>
      </w:rPr>
      <w:drawing>
        <wp:anchor distT="0" distB="0" distL="114300" distR="114300" simplePos="0" relativeHeight="251661312" behindDoc="0" locked="0" layoutInCell="1" allowOverlap="1" wp14:anchorId="72CC33A1" wp14:editId="2893F106">
          <wp:simplePos x="0" y="0"/>
          <wp:positionH relativeFrom="column">
            <wp:posOffset>6145530</wp:posOffset>
          </wp:positionH>
          <wp:positionV relativeFrom="paragraph">
            <wp:posOffset>-137795</wp:posOffset>
          </wp:positionV>
          <wp:extent cx="1447800" cy="440055"/>
          <wp:effectExtent l="0" t="0" r="0" b="0"/>
          <wp:wrapThrough wrapText="bothSides">
            <wp:wrapPolygon edited="0">
              <wp:start x="2842" y="935"/>
              <wp:lineTo x="0" y="5610"/>
              <wp:lineTo x="0" y="17766"/>
              <wp:lineTo x="2842" y="19636"/>
              <wp:lineTo x="5116" y="19636"/>
              <wp:lineTo x="21316" y="16831"/>
              <wp:lineTo x="21316" y="2805"/>
              <wp:lineTo x="5116" y="935"/>
              <wp:lineTo x="2842" y="935"/>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4B60134" wp14:editId="61D65C68">
          <wp:simplePos x="0" y="0"/>
          <wp:positionH relativeFrom="column">
            <wp:posOffset>-83820</wp:posOffset>
          </wp:positionH>
          <wp:positionV relativeFrom="paragraph">
            <wp:posOffset>-213995</wp:posOffset>
          </wp:positionV>
          <wp:extent cx="2926080" cy="541655"/>
          <wp:effectExtent l="0" t="0" r="7620" b="0"/>
          <wp:wrapThrough wrapText="bothSides">
            <wp:wrapPolygon edited="0">
              <wp:start x="1828" y="0"/>
              <wp:lineTo x="422" y="5318"/>
              <wp:lineTo x="0" y="8356"/>
              <wp:lineTo x="0" y="15193"/>
              <wp:lineTo x="1828" y="20511"/>
              <wp:lineTo x="2391" y="20511"/>
              <wp:lineTo x="2953" y="20511"/>
              <wp:lineTo x="21516" y="17472"/>
              <wp:lineTo x="21516" y="6077"/>
              <wp:lineTo x="2531" y="0"/>
              <wp:lineTo x="1828" y="0"/>
            </wp:wrapPolygon>
          </wp:wrapThrough>
          <wp:docPr id="7" name="Picture 7" descr="HDRN Canada logo" title="HDR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6080" cy="5416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D164" w14:textId="77777777" w:rsidR="00C60187" w:rsidRDefault="00C6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7A"/>
    <w:multiLevelType w:val="hybridMultilevel"/>
    <w:tmpl w:val="458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0C1F"/>
    <w:multiLevelType w:val="hybridMultilevel"/>
    <w:tmpl w:val="6486E418"/>
    <w:lvl w:ilvl="0" w:tplc="3EA6C290">
      <w:start w:val="1"/>
      <w:numFmt w:val="bullet"/>
      <w:lvlText w:val="ü"/>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72C451A"/>
    <w:multiLevelType w:val="hybridMultilevel"/>
    <w:tmpl w:val="91B09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5152BE"/>
    <w:multiLevelType w:val="hybridMultilevel"/>
    <w:tmpl w:val="279E2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13F90"/>
    <w:multiLevelType w:val="hybridMultilevel"/>
    <w:tmpl w:val="81680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302F92"/>
    <w:multiLevelType w:val="hybridMultilevel"/>
    <w:tmpl w:val="6ECCF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645FC4"/>
    <w:multiLevelType w:val="hybridMultilevel"/>
    <w:tmpl w:val="70D28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9B60EE"/>
    <w:multiLevelType w:val="multilevel"/>
    <w:tmpl w:val="A4666652"/>
    <w:lvl w:ilvl="0">
      <w:start w:val="1"/>
      <w:numFmt w:val="decimal"/>
      <w:lvlText w:val="%1"/>
      <w:lvlJc w:val="left"/>
      <w:pPr>
        <w:ind w:left="375" w:hanging="375"/>
      </w:pPr>
      <w:rPr>
        <w:rFont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14040535"/>
    <w:multiLevelType w:val="hybridMultilevel"/>
    <w:tmpl w:val="08B8D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346321"/>
    <w:multiLevelType w:val="hybridMultilevel"/>
    <w:tmpl w:val="5CA6D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472BA4"/>
    <w:multiLevelType w:val="hybridMultilevel"/>
    <w:tmpl w:val="EDB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3A45"/>
    <w:multiLevelType w:val="hybridMultilevel"/>
    <w:tmpl w:val="4B240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3B3325"/>
    <w:multiLevelType w:val="hybridMultilevel"/>
    <w:tmpl w:val="8D103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593B54"/>
    <w:multiLevelType w:val="hybridMultilevel"/>
    <w:tmpl w:val="774E4BC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C429A4"/>
    <w:multiLevelType w:val="hybridMultilevel"/>
    <w:tmpl w:val="81B225C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2C451E"/>
    <w:multiLevelType w:val="hybridMultilevel"/>
    <w:tmpl w:val="CA12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B90A37"/>
    <w:multiLevelType w:val="hybridMultilevel"/>
    <w:tmpl w:val="3C4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6009B"/>
    <w:multiLevelType w:val="hybridMultilevel"/>
    <w:tmpl w:val="B1046E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BF16F4"/>
    <w:multiLevelType w:val="hybridMultilevel"/>
    <w:tmpl w:val="8894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25606"/>
    <w:multiLevelType w:val="hybridMultilevel"/>
    <w:tmpl w:val="CABC40F8"/>
    <w:lvl w:ilvl="0" w:tplc="04090003">
      <w:start w:val="1"/>
      <w:numFmt w:val="bullet"/>
      <w:lvlText w:val="o"/>
      <w:lvlJc w:val="left"/>
      <w:pPr>
        <w:ind w:left="720" w:hanging="360"/>
      </w:pPr>
      <w:rPr>
        <w:rFonts w:ascii="Courier New" w:hAnsi="Courier New" w:cs="Courier New" w:hint="default"/>
      </w:rPr>
    </w:lvl>
    <w:lvl w:ilvl="1" w:tplc="FABCAC68">
      <w:start w:val="85"/>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94722"/>
    <w:multiLevelType w:val="hybridMultilevel"/>
    <w:tmpl w:val="BD9A61F6"/>
    <w:lvl w:ilvl="0" w:tplc="5C1E49C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2B4828"/>
    <w:multiLevelType w:val="hybridMultilevel"/>
    <w:tmpl w:val="C00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14E08"/>
    <w:multiLevelType w:val="hybridMultilevel"/>
    <w:tmpl w:val="BEB6D89E"/>
    <w:lvl w:ilvl="0" w:tplc="0A162B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FA68A6"/>
    <w:multiLevelType w:val="hybridMultilevel"/>
    <w:tmpl w:val="C5FE4DB0"/>
    <w:lvl w:ilvl="0" w:tplc="3EA6C290">
      <w:start w:val="1"/>
      <w:numFmt w:val="bullet"/>
      <w:lvlText w:val="ü"/>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9C48DF"/>
    <w:multiLevelType w:val="hybridMultilevel"/>
    <w:tmpl w:val="A66C1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FB3930"/>
    <w:multiLevelType w:val="hybridMultilevel"/>
    <w:tmpl w:val="E96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33A91"/>
    <w:multiLevelType w:val="hybridMultilevel"/>
    <w:tmpl w:val="97EA94A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2A0EEA"/>
    <w:multiLevelType w:val="hybridMultilevel"/>
    <w:tmpl w:val="A7A276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BFB3E0D"/>
    <w:multiLevelType w:val="hybridMultilevel"/>
    <w:tmpl w:val="79148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9269C0"/>
    <w:multiLevelType w:val="hybridMultilevel"/>
    <w:tmpl w:val="72EC508A"/>
    <w:lvl w:ilvl="0" w:tplc="3EA6C290">
      <w:start w:val="1"/>
      <w:numFmt w:val="bullet"/>
      <w:lvlText w:val="ü"/>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550138"/>
    <w:multiLevelType w:val="hybridMultilevel"/>
    <w:tmpl w:val="03344A7A"/>
    <w:lvl w:ilvl="0" w:tplc="A34C157E">
      <w:start w:val="1"/>
      <w:numFmt w:val="bullet"/>
      <w:lvlText w:val=""/>
      <w:lvlJc w:val="left"/>
      <w:pPr>
        <w:ind w:left="720" w:hanging="360"/>
      </w:pPr>
      <w:rPr>
        <w:rFonts w:ascii="Symbol" w:hAnsi="Symbol" w:hint="default"/>
      </w:rPr>
    </w:lvl>
    <w:lvl w:ilvl="1" w:tplc="06FE9B26">
      <w:start w:val="1"/>
      <w:numFmt w:val="bullet"/>
      <w:lvlText w:val="o"/>
      <w:lvlJc w:val="left"/>
      <w:pPr>
        <w:ind w:left="1440" w:hanging="360"/>
      </w:pPr>
      <w:rPr>
        <w:rFonts w:ascii="Courier New" w:hAnsi="Courier New" w:hint="default"/>
      </w:rPr>
    </w:lvl>
    <w:lvl w:ilvl="2" w:tplc="67E2B0C8">
      <w:start w:val="1"/>
      <w:numFmt w:val="bullet"/>
      <w:lvlText w:val=""/>
      <w:lvlJc w:val="left"/>
      <w:pPr>
        <w:ind w:left="2160" w:hanging="360"/>
      </w:pPr>
      <w:rPr>
        <w:rFonts w:ascii="Wingdings" w:hAnsi="Wingdings" w:hint="default"/>
      </w:rPr>
    </w:lvl>
    <w:lvl w:ilvl="3" w:tplc="73C0EBDC">
      <w:start w:val="1"/>
      <w:numFmt w:val="bullet"/>
      <w:lvlText w:val=""/>
      <w:lvlJc w:val="left"/>
      <w:pPr>
        <w:ind w:left="2880" w:hanging="360"/>
      </w:pPr>
      <w:rPr>
        <w:rFonts w:ascii="Symbol" w:hAnsi="Symbol" w:hint="default"/>
      </w:rPr>
    </w:lvl>
    <w:lvl w:ilvl="4" w:tplc="EA044646">
      <w:start w:val="1"/>
      <w:numFmt w:val="bullet"/>
      <w:lvlText w:val="o"/>
      <w:lvlJc w:val="left"/>
      <w:pPr>
        <w:ind w:left="3600" w:hanging="360"/>
      </w:pPr>
      <w:rPr>
        <w:rFonts w:ascii="Courier New" w:hAnsi="Courier New" w:hint="default"/>
      </w:rPr>
    </w:lvl>
    <w:lvl w:ilvl="5" w:tplc="61F6B3B6">
      <w:start w:val="1"/>
      <w:numFmt w:val="bullet"/>
      <w:lvlText w:val=""/>
      <w:lvlJc w:val="left"/>
      <w:pPr>
        <w:ind w:left="4320" w:hanging="360"/>
      </w:pPr>
      <w:rPr>
        <w:rFonts w:ascii="Wingdings" w:hAnsi="Wingdings" w:hint="default"/>
      </w:rPr>
    </w:lvl>
    <w:lvl w:ilvl="6" w:tplc="D75EB5FC">
      <w:start w:val="1"/>
      <w:numFmt w:val="bullet"/>
      <w:lvlText w:val=""/>
      <w:lvlJc w:val="left"/>
      <w:pPr>
        <w:ind w:left="5040" w:hanging="360"/>
      </w:pPr>
      <w:rPr>
        <w:rFonts w:ascii="Symbol" w:hAnsi="Symbol" w:hint="default"/>
      </w:rPr>
    </w:lvl>
    <w:lvl w:ilvl="7" w:tplc="FF621774">
      <w:start w:val="1"/>
      <w:numFmt w:val="bullet"/>
      <w:lvlText w:val="o"/>
      <w:lvlJc w:val="left"/>
      <w:pPr>
        <w:ind w:left="5760" w:hanging="360"/>
      </w:pPr>
      <w:rPr>
        <w:rFonts w:ascii="Courier New" w:hAnsi="Courier New" w:hint="default"/>
      </w:rPr>
    </w:lvl>
    <w:lvl w:ilvl="8" w:tplc="20E08072">
      <w:start w:val="1"/>
      <w:numFmt w:val="bullet"/>
      <w:lvlText w:val=""/>
      <w:lvlJc w:val="left"/>
      <w:pPr>
        <w:ind w:left="6480" w:hanging="360"/>
      </w:pPr>
      <w:rPr>
        <w:rFonts w:ascii="Wingdings" w:hAnsi="Wingdings" w:hint="default"/>
      </w:rPr>
    </w:lvl>
  </w:abstractNum>
  <w:abstractNum w:abstractNumId="31" w15:restartNumberingAfterBreak="0">
    <w:nsid w:val="762D6722"/>
    <w:multiLevelType w:val="hybridMultilevel"/>
    <w:tmpl w:val="7C5C5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E45A2C"/>
    <w:multiLevelType w:val="multilevel"/>
    <w:tmpl w:val="3A4855F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num w:numId="1">
    <w:abstractNumId w:val="11"/>
  </w:num>
  <w:num w:numId="2">
    <w:abstractNumId w:val="12"/>
  </w:num>
  <w:num w:numId="3">
    <w:abstractNumId w:val="2"/>
  </w:num>
  <w:num w:numId="4">
    <w:abstractNumId w:val="28"/>
  </w:num>
  <w:num w:numId="5">
    <w:abstractNumId w:val="8"/>
  </w:num>
  <w:num w:numId="6">
    <w:abstractNumId w:val="17"/>
  </w:num>
  <w:num w:numId="7">
    <w:abstractNumId w:val="19"/>
  </w:num>
  <w:num w:numId="8">
    <w:abstractNumId w:val="30"/>
  </w:num>
  <w:num w:numId="9">
    <w:abstractNumId w:val="26"/>
  </w:num>
  <w:num w:numId="10">
    <w:abstractNumId w:val="3"/>
  </w:num>
  <w:num w:numId="11">
    <w:abstractNumId w:val="15"/>
  </w:num>
  <w:num w:numId="12">
    <w:abstractNumId w:val="23"/>
  </w:num>
  <w:num w:numId="13">
    <w:abstractNumId w:val="1"/>
  </w:num>
  <w:num w:numId="14">
    <w:abstractNumId w:val="29"/>
  </w:num>
  <w:num w:numId="15">
    <w:abstractNumId w:val="14"/>
  </w:num>
  <w:num w:numId="16">
    <w:abstractNumId w:val="27"/>
  </w:num>
  <w:num w:numId="17">
    <w:abstractNumId w:val="4"/>
  </w:num>
  <w:num w:numId="18">
    <w:abstractNumId w:val="24"/>
  </w:num>
  <w:num w:numId="19">
    <w:abstractNumId w:val="5"/>
  </w:num>
  <w:num w:numId="20">
    <w:abstractNumId w:val="22"/>
  </w:num>
  <w:num w:numId="21">
    <w:abstractNumId w:val="32"/>
  </w:num>
  <w:num w:numId="22">
    <w:abstractNumId w:val="31"/>
  </w:num>
  <w:num w:numId="23">
    <w:abstractNumId w:val="25"/>
  </w:num>
  <w:num w:numId="24">
    <w:abstractNumId w:val="6"/>
  </w:num>
  <w:num w:numId="25">
    <w:abstractNumId w:val="7"/>
  </w:num>
  <w:num w:numId="26">
    <w:abstractNumId w:val="21"/>
  </w:num>
  <w:num w:numId="27">
    <w:abstractNumId w:val="10"/>
  </w:num>
  <w:num w:numId="28">
    <w:abstractNumId w:val="13"/>
  </w:num>
  <w:num w:numId="29">
    <w:abstractNumId w:val="0"/>
  </w:num>
  <w:num w:numId="30">
    <w:abstractNumId w:val="16"/>
  </w:num>
  <w:num w:numId="31">
    <w:abstractNumId w:val="20"/>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02"/>
    <w:rsid w:val="0000044C"/>
    <w:rsid w:val="00015B15"/>
    <w:rsid w:val="000173A0"/>
    <w:rsid w:val="00021599"/>
    <w:rsid w:val="00021FFB"/>
    <w:rsid w:val="00023587"/>
    <w:rsid w:val="00024CE3"/>
    <w:rsid w:val="00024DCC"/>
    <w:rsid w:val="000275A3"/>
    <w:rsid w:val="0003056F"/>
    <w:rsid w:val="00031B76"/>
    <w:rsid w:val="000336A5"/>
    <w:rsid w:val="00044CCF"/>
    <w:rsid w:val="00044E2E"/>
    <w:rsid w:val="00050712"/>
    <w:rsid w:val="000507EF"/>
    <w:rsid w:val="00050DFC"/>
    <w:rsid w:val="00053066"/>
    <w:rsid w:val="000559EF"/>
    <w:rsid w:val="00055EA9"/>
    <w:rsid w:val="0006239A"/>
    <w:rsid w:val="00062763"/>
    <w:rsid w:val="000673C9"/>
    <w:rsid w:val="0007110F"/>
    <w:rsid w:val="00074250"/>
    <w:rsid w:val="00081251"/>
    <w:rsid w:val="000853C3"/>
    <w:rsid w:val="00087100"/>
    <w:rsid w:val="000911FC"/>
    <w:rsid w:val="00097021"/>
    <w:rsid w:val="000A502E"/>
    <w:rsid w:val="000A63D9"/>
    <w:rsid w:val="000A7848"/>
    <w:rsid w:val="000A793C"/>
    <w:rsid w:val="000C1116"/>
    <w:rsid w:val="000C33D6"/>
    <w:rsid w:val="000C4558"/>
    <w:rsid w:val="000C4B46"/>
    <w:rsid w:val="000C53F8"/>
    <w:rsid w:val="000D387C"/>
    <w:rsid w:val="000D64A1"/>
    <w:rsid w:val="000E0C03"/>
    <w:rsid w:val="000E1F42"/>
    <w:rsid w:val="000E46B1"/>
    <w:rsid w:val="000E7A41"/>
    <w:rsid w:val="000F06C3"/>
    <w:rsid w:val="000F1259"/>
    <w:rsid w:val="000F148A"/>
    <w:rsid w:val="000F3CC2"/>
    <w:rsid w:val="000F416C"/>
    <w:rsid w:val="001004B6"/>
    <w:rsid w:val="001022CE"/>
    <w:rsid w:val="00103FE0"/>
    <w:rsid w:val="00110C66"/>
    <w:rsid w:val="00115CEE"/>
    <w:rsid w:val="00124067"/>
    <w:rsid w:val="0012645B"/>
    <w:rsid w:val="0012745B"/>
    <w:rsid w:val="00127935"/>
    <w:rsid w:val="001300B4"/>
    <w:rsid w:val="00132D60"/>
    <w:rsid w:val="001360E8"/>
    <w:rsid w:val="00137CAC"/>
    <w:rsid w:val="00142192"/>
    <w:rsid w:val="001453A2"/>
    <w:rsid w:val="00146D48"/>
    <w:rsid w:val="001505EF"/>
    <w:rsid w:val="00150BE5"/>
    <w:rsid w:val="001555C4"/>
    <w:rsid w:val="00164FC0"/>
    <w:rsid w:val="00165670"/>
    <w:rsid w:val="00166220"/>
    <w:rsid w:val="00166B44"/>
    <w:rsid w:val="001679BC"/>
    <w:rsid w:val="0017204B"/>
    <w:rsid w:val="00180670"/>
    <w:rsid w:val="00181F65"/>
    <w:rsid w:val="0018580E"/>
    <w:rsid w:val="00187D9A"/>
    <w:rsid w:val="00197DE0"/>
    <w:rsid w:val="001A53A1"/>
    <w:rsid w:val="001A6AB3"/>
    <w:rsid w:val="001B25CD"/>
    <w:rsid w:val="001B40DF"/>
    <w:rsid w:val="001B5AE8"/>
    <w:rsid w:val="001B7537"/>
    <w:rsid w:val="001C00B4"/>
    <w:rsid w:val="001C3DA5"/>
    <w:rsid w:val="001C5048"/>
    <w:rsid w:val="001C64A8"/>
    <w:rsid w:val="001C6D6C"/>
    <w:rsid w:val="001C7F09"/>
    <w:rsid w:val="001D0E5D"/>
    <w:rsid w:val="001D379E"/>
    <w:rsid w:val="001E448B"/>
    <w:rsid w:val="001E51E3"/>
    <w:rsid w:val="001E6F5C"/>
    <w:rsid w:val="001F430C"/>
    <w:rsid w:val="0020006A"/>
    <w:rsid w:val="002030F7"/>
    <w:rsid w:val="00204FA4"/>
    <w:rsid w:val="00205CCD"/>
    <w:rsid w:val="002069CB"/>
    <w:rsid w:val="00206F85"/>
    <w:rsid w:val="002107E1"/>
    <w:rsid w:val="00212324"/>
    <w:rsid w:val="002136F0"/>
    <w:rsid w:val="00213C2D"/>
    <w:rsid w:val="002231D1"/>
    <w:rsid w:val="00227FEA"/>
    <w:rsid w:val="00232455"/>
    <w:rsid w:val="0023336E"/>
    <w:rsid w:val="0023739D"/>
    <w:rsid w:val="002420F9"/>
    <w:rsid w:val="00246207"/>
    <w:rsid w:val="00250A92"/>
    <w:rsid w:val="00250AD0"/>
    <w:rsid w:val="00254326"/>
    <w:rsid w:val="00262350"/>
    <w:rsid w:val="002631DF"/>
    <w:rsid w:val="00273F0E"/>
    <w:rsid w:val="0027460B"/>
    <w:rsid w:val="00276D9C"/>
    <w:rsid w:val="002803EE"/>
    <w:rsid w:val="002837C3"/>
    <w:rsid w:val="00283E70"/>
    <w:rsid w:val="00286DD9"/>
    <w:rsid w:val="002906F5"/>
    <w:rsid w:val="0029259B"/>
    <w:rsid w:val="00292FC7"/>
    <w:rsid w:val="002932BB"/>
    <w:rsid w:val="00293D75"/>
    <w:rsid w:val="0029724C"/>
    <w:rsid w:val="002A0BFC"/>
    <w:rsid w:val="002A1D8F"/>
    <w:rsid w:val="002A2FC1"/>
    <w:rsid w:val="002B1517"/>
    <w:rsid w:val="002B3E3F"/>
    <w:rsid w:val="002B6960"/>
    <w:rsid w:val="002B6BA2"/>
    <w:rsid w:val="002C110A"/>
    <w:rsid w:val="002C37C3"/>
    <w:rsid w:val="002C7205"/>
    <w:rsid w:val="002D057D"/>
    <w:rsid w:val="002D3F04"/>
    <w:rsid w:val="002D63C5"/>
    <w:rsid w:val="002E029C"/>
    <w:rsid w:val="002E0A75"/>
    <w:rsid w:val="002E4165"/>
    <w:rsid w:val="002E6DC7"/>
    <w:rsid w:val="002F1BAB"/>
    <w:rsid w:val="002F2B41"/>
    <w:rsid w:val="002F3900"/>
    <w:rsid w:val="002F4E49"/>
    <w:rsid w:val="002F5CEC"/>
    <w:rsid w:val="002F6416"/>
    <w:rsid w:val="002F66A0"/>
    <w:rsid w:val="002F7B2A"/>
    <w:rsid w:val="00300E38"/>
    <w:rsid w:val="003014AE"/>
    <w:rsid w:val="003025CB"/>
    <w:rsid w:val="00303968"/>
    <w:rsid w:val="00306E77"/>
    <w:rsid w:val="00312300"/>
    <w:rsid w:val="00316901"/>
    <w:rsid w:val="00321FAC"/>
    <w:rsid w:val="003234BC"/>
    <w:rsid w:val="003241B1"/>
    <w:rsid w:val="003252E1"/>
    <w:rsid w:val="003303FF"/>
    <w:rsid w:val="00330EF5"/>
    <w:rsid w:val="00331879"/>
    <w:rsid w:val="00346865"/>
    <w:rsid w:val="0035100B"/>
    <w:rsid w:val="003517AF"/>
    <w:rsid w:val="00353C80"/>
    <w:rsid w:val="00360CCA"/>
    <w:rsid w:val="00361DFA"/>
    <w:rsid w:val="00366AC0"/>
    <w:rsid w:val="00373F76"/>
    <w:rsid w:val="003748CA"/>
    <w:rsid w:val="00376912"/>
    <w:rsid w:val="003807F5"/>
    <w:rsid w:val="00380DF1"/>
    <w:rsid w:val="003816A2"/>
    <w:rsid w:val="003823E1"/>
    <w:rsid w:val="00383E65"/>
    <w:rsid w:val="00385C66"/>
    <w:rsid w:val="0038647E"/>
    <w:rsid w:val="003877C1"/>
    <w:rsid w:val="00391B46"/>
    <w:rsid w:val="003927A5"/>
    <w:rsid w:val="003934EE"/>
    <w:rsid w:val="00397586"/>
    <w:rsid w:val="003A7E1D"/>
    <w:rsid w:val="003B492C"/>
    <w:rsid w:val="003C3F5D"/>
    <w:rsid w:val="003C63BC"/>
    <w:rsid w:val="003C7A7B"/>
    <w:rsid w:val="003C7C27"/>
    <w:rsid w:val="003E3361"/>
    <w:rsid w:val="003E352A"/>
    <w:rsid w:val="003E4963"/>
    <w:rsid w:val="0040306F"/>
    <w:rsid w:val="00405B89"/>
    <w:rsid w:val="00410091"/>
    <w:rsid w:val="0041513E"/>
    <w:rsid w:val="004166F8"/>
    <w:rsid w:val="00421E29"/>
    <w:rsid w:val="004252BE"/>
    <w:rsid w:val="00425FC8"/>
    <w:rsid w:val="00426CEF"/>
    <w:rsid w:val="004442FA"/>
    <w:rsid w:val="004511B3"/>
    <w:rsid w:val="00455094"/>
    <w:rsid w:val="0045657C"/>
    <w:rsid w:val="0047039E"/>
    <w:rsid w:val="004705C7"/>
    <w:rsid w:val="00476466"/>
    <w:rsid w:val="0047706A"/>
    <w:rsid w:val="004800D6"/>
    <w:rsid w:val="004838A4"/>
    <w:rsid w:val="0048498B"/>
    <w:rsid w:val="004870B1"/>
    <w:rsid w:val="004874C5"/>
    <w:rsid w:val="004915DD"/>
    <w:rsid w:val="00491DBB"/>
    <w:rsid w:val="00492BAA"/>
    <w:rsid w:val="004952C9"/>
    <w:rsid w:val="00497381"/>
    <w:rsid w:val="004A45A2"/>
    <w:rsid w:val="004B04E9"/>
    <w:rsid w:val="004B0C32"/>
    <w:rsid w:val="004B4D52"/>
    <w:rsid w:val="004C04BA"/>
    <w:rsid w:val="004C1F11"/>
    <w:rsid w:val="004C210D"/>
    <w:rsid w:val="004C4C69"/>
    <w:rsid w:val="004C757F"/>
    <w:rsid w:val="004D7E5B"/>
    <w:rsid w:val="004E1E1E"/>
    <w:rsid w:val="004E1EC7"/>
    <w:rsid w:val="004F1A78"/>
    <w:rsid w:val="004F247D"/>
    <w:rsid w:val="004F6763"/>
    <w:rsid w:val="004F6E8A"/>
    <w:rsid w:val="00506471"/>
    <w:rsid w:val="00506838"/>
    <w:rsid w:val="005113EE"/>
    <w:rsid w:val="00516404"/>
    <w:rsid w:val="00521C5D"/>
    <w:rsid w:val="00522AD7"/>
    <w:rsid w:val="0052407A"/>
    <w:rsid w:val="0052677C"/>
    <w:rsid w:val="005316E7"/>
    <w:rsid w:val="005317B0"/>
    <w:rsid w:val="005319B5"/>
    <w:rsid w:val="005319EA"/>
    <w:rsid w:val="0053285F"/>
    <w:rsid w:val="00533AA1"/>
    <w:rsid w:val="005351FE"/>
    <w:rsid w:val="00537313"/>
    <w:rsid w:val="00541090"/>
    <w:rsid w:val="00553141"/>
    <w:rsid w:val="00557E53"/>
    <w:rsid w:val="005649D9"/>
    <w:rsid w:val="00565008"/>
    <w:rsid w:val="0056627B"/>
    <w:rsid w:val="005676D3"/>
    <w:rsid w:val="005767DA"/>
    <w:rsid w:val="00582886"/>
    <w:rsid w:val="00586018"/>
    <w:rsid w:val="005B006A"/>
    <w:rsid w:val="005B3CC0"/>
    <w:rsid w:val="005B46D7"/>
    <w:rsid w:val="005B4A9C"/>
    <w:rsid w:val="005C0326"/>
    <w:rsid w:val="005C090A"/>
    <w:rsid w:val="005C1859"/>
    <w:rsid w:val="005C196C"/>
    <w:rsid w:val="005C3371"/>
    <w:rsid w:val="005C38A9"/>
    <w:rsid w:val="005D016C"/>
    <w:rsid w:val="005D0D4A"/>
    <w:rsid w:val="005D26EC"/>
    <w:rsid w:val="005E08DC"/>
    <w:rsid w:val="005E7472"/>
    <w:rsid w:val="005E7C9F"/>
    <w:rsid w:val="005F1AEA"/>
    <w:rsid w:val="005F4978"/>
    <w:rsid w:val="005F4CC7"/>
    <w:rsid w:val="005F5D4E"/>
    <w:rsid w:val="005F635A"/>
    <w:rsid w:val="005F6F9D"/>
    <w:rsid w:val="006034FC"/>
    <w:rsid w:val="00606309"/>
    <w:rsid w:val="006077DA"/>
    <w:rsid w:val="00610DE7"/>
    <w:rsid w:val="006208A4"/>
    <w:rsid w:val="00621DE8"/>
    <w:rsid w:val="006223AD"/>
    <w:rsid w:val="006223E1"/>
    <w:rsid w:val="00623B67"/>
    <w:rsid w:val="00641C3C"/>
    <w:rsid w:val="00642935"/>
    <w:rsid w:val="00646733"/>
    <w:rsid w:val="00646E09"/>
    <w:rsid w:val="00653F41"/>
    <w:rsid w:val="00654651"/>
    <w:rsid w:val="00654DB1"/>
    <w:rsid w:val="00656960"/>
    <w:rsid w:val="00675812"/>
    <w:rsid w:val="00683B9C"/>
    <w:rsid w:val="00683F46"/>
    <w:rsid w:val="00684114"/>
    <w:rsid w:val="00687693"/>
    <w:rsid w:val="00694492"/>
    <w:rsid w:val="00696218"/>
    <w:rsid w:val="006972A5"/>
    <w:rsid w:val="00697DC0"/>
    <w:rsid w:val="006A4DDB"/>
    <w:rsid w:val="006B054F"/>
    <w:rsid w:val="006B1E7B"/>
    <w:rsid w:val="006C022A"/>
    <w:rsid w:val="006C0481"/>
    <w:rsid w:val="006C1A4C"/>
    <w:rsid w:val="006C2A23"/>
    <w:rsid w:val="006C59D5"/>
    <w:rsid w:val="006C7C17"/>
    <w:rsid w:val="006D0E43"/>
    <w:rsid w:val="006D138B"/>
    <w:rsid w:val="006D69A4"/>
    <w:rsid w:val="006F4CF7"/>
    <w:rsid w:val="00700513"/>
    <w:rsid w:val="00700AA3"/>
    <w:rsid w:val="00703811"/>
    <w:rsid w:val="007056CA"/>
    <w:rsid w:val="0070685F"/>
    <w:rsid w:val="007171E1"/>
    <w:rsid w:val="00717219"/>
    <w:rsid w:val="00724A04"/>
    <w:rsid w:val="00725A58"/>
    <w:rsid w:val="007275E6"/>
    <w:rsid w:val="007304B4"/>
    <w:rsid w:val="00732151"/>
    <w:rsid w:val="00732449"/>
    <w:rsid w:val="00733D26"/>
    <w:rsid w:val="007375AB"/>
    <w:rsid w:val="00744991"/>
    <w:rsid w:val="00747977"/>
    <w:rsid w:val="0075239C"/>
    <w:rsid w:val="00753B40"/>
    <w:rsid w:val="0076232A"/>
    <w:rsid w:val="0076534A"/>
    <w:rsid w:val="00765920"/>
    <w:rsid w:val="00767D31"/>
    <w:rsid w:val="00781DBF"/>
    <w:rsid w:val="0078408B"/>
    <w:rsid w:val="00784C0D"/>
    <w:rsid w:val="007853FD"/>
    <w:rsid w:val="0079036B"/>
    <w:rsid w:val="0079797D"/>
    <w:rsid w:val="007A5241"/>
    <w:rsid w:val="007A62EA"/>
    <w:rsid w:val="007B28DD"/>
    <w:rsid w:val="007B299E"/>
    <w:rsid w:val="007B5F01"/>
    <w:rsid w:val="007C3BF5"/>
    <w:rsid w:val="007C49C9"/>
    <w:rsid w:val="007C76C4"/>
    <w:rsid w:val="007D6CD7"/>
    <w:rsid w:val="007E0894"/>
    <w:rsid w:val="007F4626"/>
    <w:rsid w:val="007F7EBC"/>
    <w:rsid w:val="00801A82"/>
    <w:rsid w:val="00801E19"/>
    <w:rsid w:val="00801F06"/>
    <w:rsid w:val="00803322"/>
    <w:rsid w:val="00805BE8"/>
    <w:rsid w:val="00806D6E"/>
    <w:rsid w:val="008071AB"/>
    <w:rsid w:val="008075B4"/>
    <w:rsid w:val="00810425"/>
    <w:rsid w:val="008109A4"/>
    <w:rsid w:val="00813A2C"/>
    <w:rsid w:val="00814508"/>
    <w:rsid w:val="00816281"/>
    <w:rsid w:val="008233F0"/>
    <w:rsid w:val="00841B82"/>
    <w:rsid w:val="00843A9D"/>
    <w:rsid w:val="00854BAE"/>
    <w:rsid w:val="00855492"/>
    <w:rsid w:val="00860226"/>
    <w:rsid w:val="008673D6"/>
    <w:rsid w:val="0086765C"/>
    <w:rsid w:val="00875CB7"/>
    <w:rsid w:val="00887FE8"/>
    <w:rsid w:val="008905F6"/>
    <w:rsid w:val="00891B32"/>
    <w:rsid w:val="008A0F99"/>
    <w:rsid w:val="008A3858"/>
    <w:rsid w:val="008A5A2A"/>
    <w:rsid w:val="008B11A0"/>
    <w:rsid w:val="008B22F4"/>
    <w:rsid w:val="008B57DC"/>
    <w:rsid w:val="008B7266"/>
    <w:rsid w:val="008B764B"/>
    <w:rsid w:val="008B78A6"/>
    <w:rsid w:val="008B7AEE"/>
    <w:rsid w:val="008C3C3B"/>
    <w:rsid w:val="008C7320"/>
    <w:rsid w:val="008C7759"/>
    <w:rsid w:val="008D6CB8"/>
    <w:rsid w:val="008E0F8E"/>
    <w:rsid w:val="008E269E"/>
    <w:rsid w:val="008E2B1A"/>
    <w:rsid w:val="008E2EE5"/>
    <w:rsid w:val="008E4F00"/>
    <w:rsid w:val="008F1407"/>
    <w:rsid w:val="008F28B7"/>
    <w:rsid w:val="008F2D4D"/>
    <w:rsid w:val="008F79D4"/>
    <w:rsid w:val="00900968"/>
    <w:rsid w:val="00901D81"/>
    <w:rsid w:val="00904313"/>
    <w:rsid w:val="0090635C"/>
    <w:rsid w:val="00911838"/>
    <w:rsid w:val="00914DD2"/>
    <w:rsid w:val="00915F31"/>
    <w:rsid w:val="00917D0E"/>
    <w:rsid w:val="00920ED7"/>
    <w:rsid w:val="0092220E"/>
    <w:rsid w:val="009249A4"/>
    <w:rsid w:val="009325E6"/>
    <w:rsid w:val="00933A19"/>
    <w:rsid w:val="00945157"/>
    <w:rsid w:val="00950694"/>
    <w:rsid w:val="00953769"/>
    <w:rsid w:val="0095601C"/>
    <w:rsid w:val="00957B50"/>
    <w:rsid w:val="00957E08"/>
    <w:rsid w:val="00970F82"/>
    <w:rsid w:val="009719E0"/>
    <w:rsid w:val="00985EB7"/>
    <w:rsid w:val="00987FDA"/>
    <w:rsid w:val="00992528"/>
    <w:rsid w:val="0099519D"/>
    <w:rsid w:val="009970E5"/>
    <w:rsid w:val="009A0E81"/>
    <w:rsid w:val="009B15A1"/>
    <w:rsid w:val="009B1D5B"/>
    <w:rsid w:val="009B6A98"/>
    <w:rsid w:val="009B7AAB"/>
    <w:rsid w:val="009C2635"/>
    <w:rsid w:val="009C569E"/>
    <w:rsid w:val="009D17F2"/>
    <w:rsid w:val="009D3A48"/>
    <w:rsid w:val="009D3FF0"/>
    <w:rsid w:val="009D7830"/>
    <w:rsid w:val="009D7FFB"/>
    <w:rsid w:val="009E3D9F"/>
    <w:rsid w:val="009F206F"/>
    <w:rsid w:val="00A007A7"/>
    <w:rsid w:val="00A00964"/>
    <w:rsid w:val="00A04F01"/>
    <w:rsid w:val="00A05435"/>
    <w:rsid w:val="00A11825"/>
    <w:rsid w:val="00A179C3"/>
    <w:rsid w:val="00A21060"/>
    <w:rsid w:val="00A234A7"/>
    <w:rsid w:val="00A23A58"/>
    <w:rsid w:val="00A310DA"/>
    <w:rsid w:val="00A323EF"/>
    <w:rsid w:val="00A33424"/>
    <w:rsid w:val="00A418AE"/>
    <w:rsid w:val="00A44CD7"/>
    <w:rsid w:val="00A46445"/>
    <w:rsid w:val="00A501AD"/>
    <w:rsid w:val="00A5621A"/>
    <w:rsid w:val="00A645E2"/>
    <w:rsid w:val="00A656CC"/>
    <w:rsid w:val="00A676DE"/>
    <w:rsid w:val="00A71B6B"/>
    <w:rsid w:val="00A72286"/>
    <w:rsid w:val="00A751A8"/>
    <w:rsid w:val="00A832E2"/>
    <w:rsid w:val="00A92622"/>
    <w:rsid w:val="00AA0A3A"/>
    <w:rsid w:val="00AA6B61"/>
    <w:rsid w:val="00AA6E30"/>
    <w:rsid w:val="00AB6443"/>
    <w:rsid w:val="00AC114E"/>
    <w:rsid w:val="00AC64E0"/>
    <w:rsid w:val="00AC79DD"/>
    <w:rsid w:val="00AD036F"/>
    <w:rsid w:val="00AD5F9D"/>
    <w:rsid w:val="00AE0058"/>
    <w:rsid w:val="00AE0EEA"/>
    <w:rsid w:val="00AE44F3"/>
    <w:rsid w:val="00AE5005"/>
    <w:rsid w:val="00AF121F"/>
    <w:rsid w:val="00AF5616"/>
    <w:rsid w:val="00AF76AC"/>
    <w:rsid w:val="00B01AF6"/>
    <w:rsid w:val="00B025D6"/>
    <w:rsid w:val="00B03795"/>
    <w:rsid w:val="00B06AE7"/>
    <w:rsid w:val="00B10324"/>
    <w:rsid w:val="00B10908"/>
    <w:rsid w:val="00B1218D"/>
    <w:rsid w:val="00B12582"/>
    <w:rsid w:val="00B12AE4"/>
    <w:rsid w:val="00B134DC"/>
    <w:rsid w:val="00B17A30"/>
    <w:rsid w:val="00B20395"/>
    <w:rsid w:val="00B20BF1"/>
    <w:rsid w:val="00B25015"/>
    <w:rsid w:val="00B2588F"/>
    <w:rsid w:val="00B25B19"/>
    <w:rsid w:val="00B32391"/>
    <w:rsid w:val="00B435F2"/>
    <w:rsid w:val="00B5534E"/>
    <w:rsid w:val="00B558D5"/>
    <w:rsid w:val="00B621AC"/>
    <w:rsid w:val="00B64A7A"/>
    <w:rsid w:val="00B70736"/>
    <w:rsid w:val="00B71CE7"/>
    <w:rsid w:val="00B831FD"/>
    <w:rsid w:val="00B84FAC"/>
    <w:rsid w:val="00B93DD1"/>
    <w:rsid w:val="00B94008"/>
    <w:rsid w:val="00BA0616"/>
    <w:rsid w:val="00BA4858"/>
    <w:rsid w:val="00BB20AC"/>
    <w:rsid w:val="00BB49D6"/>
    <w:rsid w:val="00BC0D8F"/>
    <w:rsid w:val="00BC153E"/>
    <w:rsid w:val="00BC1671"/>
    <w:rsid w:val="00BC2902"/>
    <w:rsid w:val="00BC3A83"/>
    <w:rsid w:val="00BC3F41"/>
    <w:rsid w:val="00BC776B"/>
    <w:rsid w:val="00BD11D6"/>
    <w:rsid w:val="00BD2954"/>
    <w:rsid w:val="00BE6F44"/>
    <w:rsid w:val="00BE79E6"/>
    <w:rsid w:val="00BF56C1"/>
    <w:rsid w:val="00BF7C42"/>
    <w:rsid w:val="00C03E3E"/>
    <w:rsid w:val="00C04F0A"/>
    <w:rsid w:val="00C063A7"/>
    <w:rsid w:val="00C1111F"/>
    <w:rsid w:val="00C228EB"/>
    <w:rsid w:val="00C22B0C"/>
    <w:rsid w:val="00C27223"/>
    <w:rsid w:val="00C310AE"/>
    <w:rsid w:val="00C330A7"/>
    <w:rsid w:val="00C3732F"/>
    <w:rsid w:val="00C40723"/>
    <w:rsid w:val="00C408FD"/>
    <w:rsid w:val="00C410F8"/>
    <w:rsid w:val="00C41DF3"/>
    <w:rsid w:val="00C52D22"/>
    <w:rsid w:val="00C5677D"/>
    <w:rsid w:val="00C579AE"/>
    <w:rsid w:val="00C60187"/>
    <w:rsid w:val="00C60823"/>
    <w:rsid w:val="00C6552D"/>
    <w:rsid w:val="00C676F3"/>
    <w:rsid w:val="00C70942"/>
    <w:rsid w:val="00C719B7"/>
    <w:rsid w:val="00C7523F"/>
    <w:rsid w:val="00C810AE"/>
    <w:rsid w:val="00C828AC"/>
    <w:rsid w:val="00C83BDF"/>
    <w:rsid w:val="00C87F84"/>
    <w:rsid w:val="00C919E2"/>
    <w:rsid w:val="00C935F8"/>
    <w:rsid w:val="00C93B84"/>
    <w:rsid w:val="00C941FC"/>
    <w:rsid w:val="00C943BF"/>
    <w:rsid w:val="00C95EC6"/>
    <w:rsid w:val="00CA705F"/>
    <w:rsid w:val="00CA722E"/>
    <w:rsid w:val="00CB047C"/>
    <w:rsid w:val="00CB216A"/>
    <w:rsid w:val="00CB6955"/>
    <w:rsid w:val="00CC096A"/>
    <w:rsid w:val="00CC3F32"/>
    <w:rsid w:val="00CC40A8"/>
    <w:rsid w:val="00CC41F3"/>
    <w:rsid w:val="00CC57FE"/>
    <w:rsid w:val="00CD14B8"/>
    <w:rsid w:val="00CD19A3"/>
    <w:rsid w:val="00CD62D6"/>
    <w:rsid w:val="00CE1B13"/>
    <w:rsid w:val="00CE1FAD"/>
    <w:rsid w:val="00CE3DD2"/>
    <w:rsid w:val="00CF058C"/>
    <w:rsid w:val="00CF2D4E"/>
    <w:rsid w:val="00CF4A61"/>
    <w:rsid w:val="00CF6532"/>
    <w:rsid w:val="00CF7B7A"/>
    <w:rsid w:val="00D001A5"/>
    <w:rsid w:val="00D011CD"/>
    <w:rsid w:val="00D01454"/>
    <w:rsid w:val="00D058F1"/>
    <w:rsid w:val="00D109B6"/>
    <w:rsid w:val="00D16FF1"/>
    <w:rsid w:val="00D266FE"/>
    <w:rsid w:val="00D2735C"/>
    <w:rsid w:val="00D3063F"/>
    <w:rsid w:val="00D30F7D"/>
    <w:rsid w:val="00D334A1"/>
    <w:rsid w:val="00D36566"/>
    <w:rsid w:val="00D416D1"/>
    <w:rsid w:val="00D45EAA"/>
    <w:rsid w:val="00D477B7"/>
    <w:rsid w:val="00D5227D"/>
    <w:rsid w:val="00D55196"/>
    <w:rsid w:val="00D55D5F"/>
    <w:rsid w:val="00D724B4"/>
    <w:rsid w:val="00D725F9"/>
    <w:rsid w:val="00D72F4B"/>
    <w:rsid w:val="00D7365B"/>
    <w:rsid w:val="00D75248"/>
    <w:rsid w:val="00D75468"/>
    <w:rsid w:val="00D76D30"/>
    <w:rsid w:val="00D80A1C"/>
    <w:rsid w:val="00D817ED"/>
    <w:rsid w:val="00D90C60"/>
    <w:rsid w:val="00D92D57"/>
    <w:rsid w:val="00D9427D"/>
    <w:rsid w:val="00D96161"/>
    <w:rsid w:val="00D962F4"/>
    <w:rsid w:val="00DA4DA1"/>
    <w:rsid w:val="00DB1B68"/>
    <w:rsid w:val="00DB39AF"/>
    <w:rsid w:val="00DB5645"/>
    <w:rsid w:val="00DB61BF"/>
    <w:rsid w:val="00DB63A9"/>
    <w:rsid w:val="00DB66FD"/>
    <w:rsid w:val="00DB7EDF"/>
    <w:rsid w:val="00DC3F8C"/>
    <w:rsid w:val="00DC5703"/>
    <w:rsid w:val="00DC5D86"/>
    <w:rsid w:val="00DD694D"/>
    <w:rsid w:val="00DD6E9A"/>
    <w:rsid w:val="00DD7790"/>
    <w:rsid w:val="00DD79A5"/>
    <w:rsid w:val="00DE14D9"/>
    <w:rsid w:val="00DE6D63"/>
    <w:rsid w:val="00DF1406"/>
    <w:rsid w:val="00DF4698"/>
    <w:rsid w:val="00DF5064"/>
    <w:rsid w:val="00E03BD9"/>
    <w:rsid w:val="00E11030"/>
    <w:rsid w:val="00E17B64"/>
    <w:rsid w:val="00E266DC"/>
    <w:rsid w:val="00E364AA"/>
    <w:rsid w:val="00E4314E"/>
    <w:rsid w:val="00E4428C"/>
    <w:rsid w:val="00E4570C"/>
    <w:rsid w:val="00E5089C"/>
    <w:rsid w:val="00E50D7B"/>
    <w:rsid w:val="00E50EE4"/>
    <w:rsid w:val="00E6325B"/>
    <w:rsid w:val="00E63481"/>
    <w:rsid w:val="00E636EB"/>
    <w:rsid w:val="00E6589F"/>
    <w:rsid w:val="00E71897"/>
    <w:rsid w:val="00E73868"/>
    <w:rsid w:val="00E74A1D"/>
    <w:rsid w:val="00E74C54"/>
    <w:rsid w:val="00E8206A"/>
    <w:rsid w:val="00E9365B"/>
    <w:rsid w:val="00EA7192"/>
    <w:rsid w:val="00EA731F"/>
    <w:rsid w:val="00EB3502"/>
    <w:rsid w:val="00EB41F7"/>
    <w:rsid w:val="00EB516F"/>
    <w:rsid w:val="00EC32E3"/>
    <w:rsid w:val="00EC5436"/>
    <w:rsid w:val="00ED1417"/>
    <w:rsid w:val="00ED1A0D"/>
    <w:rsid w:val="00ED1A59"/>
    <w:rsid w:val="00ED37E8"/>
    <w:rsid w:val="00ED432C"/>
    <w:rsid w:val="00ED43DD"/>
    <w:rsid w:val="00ED6DB5"/>
    <w:rsid w:val="00EE0757"/>
    <w:rsid w:val="00EE3C2F"/>
    <w:rsid w:val="00EE44A4"/>
    <w:rsid w:val="00EF6F5F"/>
    <w:rsid w:val="00F0260E"/>
    <w:rsid w:val="00F02BB9"/>
    <w:rsid w:val="00F030EA"/>
    <w:rsid w:val="00F057E0"/>
    <w:rsid w:val="00F12085"/>
    <w:rsid w:val="00F129F4"/>
    <w:rsid w:val="00F12AC4"/>
    <w:rsid w:val="00F13BF4"/>
    <w:rsid w:val="00F17145"/>
    <w:rsid w:val="00F20392"/>
    <w:rsid w:val="00F25DBD"/>
    <w:rsid w:val="00F30A6F"/>
    <w:rsid w:val="00F32F24"/>
    <w:rsid w:val="00F35988"/>
    <w:rsid w:val="00F36022"/>
    <w:rsid w:val="00F367BE"/>
    <w:rsid w:val="00F540A7"/>
    <w:rsid w:val="00F5559D"/>
    <w:rsid w:val="00F559FA"/>
    <w:rsid w:val="00F56332"/>
    <w:rsid w:val="00F74245"/>
    <w:rsid w:val="00F76F54"/>
    <w:rsid w:val="00F773BF"/>
    <w:rsid w:val="00F80690"/>
    <w:rsid w:val="00F807BE"/>
    <w:rsid w:val="00F86300"/>
    <w:rsid w:val="00F87832"/>
    <w:rsid w:val="00F909D6"/>
    <w:rsid w:val="00F90A37"/>
    <w:rsid w:val="00F90E67"/>
    <w:rsid w:val="00F913C0"/>
    <w:rsid w:val="00F94E3B"/>
    <w:rsid w:val="00F95C7F"/>
    <w:rsid w:val="00F9661D"/>
    <w:rsid w:val="00FA35D8"/>
    <w:rsid w:val="00FA3E92"/>
    <w:rsid w:val="00FA42DE"/>
    <w:rsid w:val="00FB3F33"/>
    <w:rsid w:val="00FB7589"/>
    <w:rsid w:val="00FC0AC5"/>
    <w:rsid w:val="00FC2038"/>
    <w:rsid w:val="00FC39EF"/>
    <w:rsid w:val="00FC42A2"/>
    <w:rsid w:val="00FC4ABE"/>
    <w:rsid w:val="00FC6FD0"/>
    <w:rsid w:val="00FD3C99"/>
    <w:rsid w:val="00FE5B3C"/>
    <w:rsid w:val="00FE74D3"/>
    <w:rsid w:val="00FF0B6F"/>
    <w:rsid w:val="00FF2830"/>
    <w:rsid w:val="065E53C2"/>
    <w:rsid w:val="0B8C9CCB"/>
    <w:rsid w:val="10116C81"/>
    <w:rsid w:val="108BB31F"/>
    <w:rsid w:val="11E90C42"/>
    <w:rsid w:val="12278380"/>
    <w:rsid w:val="1889B2AA"/>
    <w:rsid w:val="1994E1F6"/>
    <w:rsid w:val="1EBED5FF"/>
    <w:rsid w:val="229602A3"/>
    <w:rsid w:val="2A770C5E"/>
    <w:rsid w:val="2B683EA0"/>
    <w:rsid w:val="34CED3C5"/>
    <w:rsid w:val="36D78A22"/>
    <w:rsid w:val="41B0A699"/>
    <w:rsid w:val="54822035"/>
    <w:rsid w:val="57D42859"/>
    <w:rsid w:val="58D771B2"/>
    <w:rsid w:val="5C62D6C4"/>
    <w:rsid w:val="5EB9167C"/>
    <w:rsid w:val="6056489E"/>
    <w:rsid w:val="61029005"/>
    <w:rsid w:val="61485A0E"/>
    <w:rsid w:val="62E34B41"/>
    <w:rsid w:val="63290C79"/>
    <w:rsid w:val="6D1BA349"/>
    <w:rsid w:val="7638FD53"/>
    <w:rsid w:val="7A890C5D"/>
    <w:rsid w:val="7D5D86B3"/>
    <w:rsid w:val="7ED58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E9ACB"/>
  <w15:chartTrackingRefBased/>
  <w15:docId w15:val="{1AA48A44-FF4C-4972-B24F-3FC95D97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92"/>
  </w:style>
  <w:style w:type="paragraph" w:styleId="Heading1">
    <w:name w:val="heading 1"/>
    <w:basedOn w:val="Normal"/>
    <w:next w:val="Normal"/>
    <w:link w:val="Heading1Char"/>
    <w:uiPriority w:val="9"/>
    <w:qFormat/>
    <w:rsid w:val="00D30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C3C"/>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641C3C"/>
    <w:pPr>
      <w:keepNext/>
      <w:keepLines/>
      <w:spacing w:before="160" w:after="120"/>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unhideWhenUsed/>
    <w:qFormat/>
    <w:rsid w:val="00C373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90A"/>
    <w:rPr>
      <w:color w:val="0563C1" w:themeColor="hyperlink"/>
      <w:u w:val="single"/>
    </w:rPr>
  </w:style>
  <w:style w:type="paragraph" w:styleId="FootnoteText">
    <w:name w:val="footnote text"/>
    <w:basedOn w:val="Normal"/>
    <w:link w:val="FootnoteTextChar"/>
    <w:uiPriority w:val="99"/>
    <w:semiHidden/>
    <w:unhideWhenUsed/>
    <w:rsid w:val="005C0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90A"/>
    <w:rPr>
      <w:sz w:val="20"/>
      <w:szCs w:val="20"/>
    </w:rPr>
  </w:style>
  <w:style w:type="character" w:styleId="FootnoteReference">
    <w:name w:val="footnote reference"/>
    <w:basedOn w:val="DefaultParagraphFont"/>
    <w:uiPriority w:val="99"/>
    <w:semiHidden/>
    <w:unhideWhenUsed/>
    <w:rsid w:val="005C090A"/>
    <w:rPr>
      <w:vertAlign w:val="superscript"/>
    </w:rPr>
  </w:style>
  <w:style w:type="paragraph" w:styleId="ListParagraph">
    <w:name w:val="List Paragraph"/>
    <w:basedOn w:val="Normal"/>
    <w:uiPriority w:val="34"/>
    <w:qFormat/>
    <w:rsid w:val="008A3858"/>
    <w:pPr>
      <w:ind w:left="720"/>
      <w:contextualSpacing/>
    </w:pPr>
  </w:style>
  <w:style w:type="character" w:styleId="PlaceholderText">
    <w:name w:val="Placeholder Text"/>
    <w:basedOn w:val="DefaultParagraphFont"/>
    <w:uiPriority w:val="99"/>
    <w:semiHidden/>
    <w:rsid w:val="00917D0E"/>
    <w:rPr>
      <w:color w:val="808080"/>
    </w:rPr>
  </w:style>
  <w:style w:type="character" w:customStyle="1" w:styleId="Heading2Char">
    <w:name w:val="Heading 2 Char"/>
    <w:basedOn w:val="DefaultParagraphFont"/>
    <w:link w:val="Heading2"/>
    <w:uiPriority w:val="9"/>
    <w:rsid w:val="00641C3C"/>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641C3C"/>
    <w:rPr>
      <w:rFonts w:asciiTheme="majorHAnsi" w:eastAsiaTheme="majorEastAsia" w:hAnsiTheme="majorHAnsi" w:cstheme="majorBidi"/>
      <w:color w:val="1F3763" w:themeColor="accent1" w:themeShade="7F"/>
      <w:sz w:val="28"/>
      <w:szCs w:val="24"/>
    </w:rPr>
  </w:style>
  <w:style w:type="character" w:customStyle="1" w:styleId="Heading1Char">
    <w:name w:val="Heading 1 Char"/>
    <w:basedOn w:val="DefaultParagraphFont"/>
    <w:link w:val="Heading1"/>
    <w:uiPriority w:val="9"/>
    <w:rsid w:val="00D30F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30F7D"/>
    <w:pPr>
      <w:outlineLvl w:val="9"/>
    </w:pPr>
    <w:rPr>
      <w:lang w:val="en-US"/>
    </w:rPr>
  </w:style>
  <w:style w:type="paragraph" w:styleId="TOC2">
    <w:name w:val="toc 2"/>
    <w:basedOn w:val="Normal"/>
    <w:next w:val="Normal"/>
    <w:autoRedefine/>
    <w:uiPriority w:val="39"/>
    <w:unhideWhenUsed/>
    <w:rsid w:val="00E636EB"/>
    <w:pPr>
      <w:tabs>
        <w:tab w:val="left" w:pos="426"/>
        <w:tab w:val="right" w:leader="dot" w:pos="9350"/>
      </w:tabs>
      <w:spacing w:after="0" w:line="240" w:lineRule="auto"/>
      <w:ind w:left="426" w:hanging="426"/>
    </w:pPr>
  </w:style>
  <w:style w:type="paragraph" w:styleId="TOC3">
    <w:name w:val="toc 3"/>
    <w:basedOn w:val="Normal"/>
    <w:next w:val="Normal"/>
    <w:autoRedefine/>
    <w:uiPriority w:val="39"/>
    <w:unhideWhenUsed/>
    <w:rsid w:val="00197DE0"/>
    <w:pPr>
      <w:tabs>
        <w:tab w:val="right" w:leader="dot" w:pos="9350"/>
      </w:tabs>
      <w:spacing w:after="0" w:line="240" w:lineRule="auto"/>
      <w:ind w:left="709" w:hanging="425"/>
    </w:pPr>
  </w:style>
  <w:style w:type="table" w:styleId="TableGrid">
    <w:name w:val="Table Grid"/>
    <w:basedOn w:val="TableNormal"/>
    <w:uiPriority w:val="39"/>
    <w:rsid w:val="00C3732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3732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7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10F"/>
  </w:style>
  <w:style w:type="paragraph" w:styleId="Footer">
    <w:name w:val="footer"/>
    <w:basedOn w:val="Normal"/>
    <w:link w:val="FooterChar"/>
    <w:uiPriority w:val="99"/>
    <w:unhideWhenUsed/>
    <w:rsid w:val="0007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10F"/>
  </w:style>
  <w:style w:type="character" w:styleId="CommentReference">
    <w:name w:val="annotation reference"/>
    <w:basedOn w:val="DefaultParagraphFont"/>
    <w:uiPriority w:val="99"/>
    <w:semiHidden/>
    <w:unhideWhenUsed/>
    <w:rsid w:val="002F2B41"/>
    <w:rPr>
      <w:sz w:val="16"/>
      <w:szCs w:val="16"/>
    </w:rPr>
  </w:style>
  <w:style w:type="paragraph" w:styleId="CommentText">
    <w:name w:val="annotation text"/>
    <w:basedOn w:val="Normal"/>
    <w:link w:val="CommentTextChar"/>
    <w:uiPriority w:val="99"/>
    <w:unhideWhenUsed/>
    <w:rsid w:val="002F2B41"/>
    <w:pPr>
      <w:spacing w:line="240" w:lineRule="auto"/>
    </w:pPr>
    <w:rPr>
      <w:sz w:val="20"/>
      <w:szCs w:val="20"/>
    </w:rPr>
  </w:style>
  <w:style w:type="character" w:customStyle="1" w:styleId="CommentTextChar">
    <w:name w:val="Comment Text Char"/>
    <w:basedOn w:val="DefaultParagraphFont"/>
    <w:link w:val="CommentText"/>
    <w:uiPriority w:val="99"/>
    <w:rsid w:val="002F2B41"/>
    <w:rPr>
      <w:sz w:val="20"/>
      <w:szCs w:val="20"/>
    </w:rPr>
  </w:style>
  <w:style w:type="paragraph" w:styleId="CommentSubject">
    <w:name w:val="annotation subject"/>
    <w:basedOn w:val="CommentText"/>
    <w:next w:val="CommentText"/>
    <w:link w:val="CommentSubjectChar"/>
    <w:uiPriority w:val="99"/>
    <w:semiHidden/>
    <w:unhideWhenUsed/>
    <w:rsid w:val="002F2B41"/>
    <w:rPr>
      <w:b/>
      <w:bCs/>
    </w:rPr>
  </w:style>
  <w:style w:type="character" w:customStyle="1" w:styleId="CommentSubjectChar">
    <w:name w:val="Comment Subject Char"/>
    <w:basedOn w:val="CommentTextChar"/>
    <w:link w:val="CommentSubject"/>
    <w:uiPriority w:val="99"/>
    <w:semiHidden/>
    <w:rsid w:val="002F2B41"/>
    <w:rPr>
      <w:b/>
      <w:bCs/>
      <w:sz w:val="20"/>
      <w:szCs w:val="20"/>
    </w:rPr>
  </w:style>
  <w:style w:type="paragraph" w:styleId="Revision">
    <w:name w:val="Revision"/>
    <w:hidden/>
    <w:uiPriority w:val="99"/>
    <w:semiHidden/>
    <w:rsid w:val="002F2B41"/>
    <w:pPr>
      <w:spacing w:after="0" w:line="240" w:lineRule="auto"/>
    </w:pPr>
  </w:style>
  <w:style w:type="character" w:customStyle="1" w:styleId="UnresolvedMention1">
    <w:name w:val="Unresolved Mention1"/>
    <w:basedOn w:val="DefaultParagraphFont"/>
    <w:uiPriority w:val="99"/>
    <w:semiHidden/>
    <w:unhideWhenUsed/>
    <w:rsid w:val="002F4E49"/>
    <w:rPr>
      <w:color w:val="605E5C"/>
      <w:shd w:val="clear" w:color="auto" w:fill="E1DFDD"/>
    </w:rPr>
  </w:style>
  <w:style w:type="paragraph" w:styleId="BalloonText">
    <w:name w:val="Balloon Text"/>
    <w:basedOn w:val="Normal"/>
    <w:link w:val="BalloonTextChar"/>
    <w:uiPriority w:val="99"/>
    <w:semiHidden/>
    <w:unhideWhenUsed/>
    <w:rsid w:val="00C1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1F"/>
    <w:rPr>
      <w:rFonts w:ascii="Segoe UI" w:hAnsi="Segoe UI" w:cs="Segoe UI"/>
      <w:sz w:val="18"/>
      <w:szCs w:val="18"/>
    </w:rPr>
  </w:style>
  <w:style w:type="paragraph" w:styleId="NoSpacing">
    <w:name w:val="No Spacing"/>
    <w:uiPriority w:val="1"/>
    <w:qFormat/>
    <w:rsid w:val="00C1111F"/>
    <w:pPr>
      <w:spacing w:after="0" w:line="240" w:lineRule="auto"/>
    </w:pPr>
  </w:style>
  <w:style w:type="paragraph" w:styleId="TOC1">
    <w:name w:val="toc 1"/>
    <w:basedOn w:val="Normal"/>
    <w:next w:val="Normal"/>
    <w:autoRedefine/>
    <w:uiPriority w:val="39"/>
    <w:unhideWhenUsed/>
    <w:rsid w:val="00C40723"/>
    <w:pPr>
      <w:spacing w:after="100"/>
    </w:pPr>
    <w:rPr>
      <w:rFonts w:eastAsiaTheme="minorEastAsia" w:cs="Times New Roman"/>
      <w:lang w:val="en-US"/>
    </w:rPr>
  </w:style>
  <w:style w:type="paragraph" w:customStyle="1" w:styleId="pf0">
    <w:name w:val="pf0"/>
    <w:basedOn w:val="Normal"/>
    <w:rsid w:val="00DF46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DF46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494">
      <w:bodyDiv w:val="1"/>
      <w:marLeft w:val="0"/>
      <w:marRight w:val="0"/>
      <w:marTop w:val="0"/>
      <w:marBottom w:val="0"/>
      <w:divBdr>
        <w:top w:val="none" w:sz="0" w:space="0" w:color="auto"/>
        <w:left w:val="none" w:sz="0" w:space="0" w:color="auto"/>
        <w:bottom w:val="none" w:sz="0" w:space="0" w:color="auto"/>
        <w:right w:val="none" w:sz="0" w:space="0" w:color="auto"/>
      </w:divBdr>
    </w:div>
    <w:div w:id="19083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36"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66DCF"/>
    <w:rsid w:val="00C66758"/>
    <w:rsid w:val="00E6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FAAA-4373-46B0-8DED-DB1C9B87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Johannesen</dc:creator>
  <cp:keywords/>
  <dc:description/>
  <cp:lastModifiedBy>Burt, Julia Elizabeth</cp:lastModifiedBy>
  <cp:revision>2</cp:revision>
  <cp:lastPrinted>2022-11-09T13:06:00Z</cp:lastPrinted>
  <dcterms:created xsi:type="dcterms:W3CDTF">2022-11-17T12:47:00Z</dcterms:created>
  <dcterms:modified xsi:type="dcterms:W3CDTF">2022-11-17T12:47:00Z</dcterms:modified>
  <cp:contentStatus/>
</cp:coreProperties>
</file>